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Pr="002D70DA"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187FAA">
        <w:rPr>
          <w:rFonts w:ascii="Arial" w:hAnsi="Arial" w:cs="Arial"/>
          <w:b/>
          <w:sz w:val="17"/>
          <w:szCs w:val="17"/>
        </w:rPr>
        <w:t>TRIBUNAL DE JUSTICIA ADMINISTRATIVAA</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bookmarkStart w:id="0" w:name="_GoBack"/>
      <w:bookmarkEnd w:id="0"/>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6B0864" w:rsidRPr="002D70DA" w:rsidRDefault="002F1704">
            <w:pPr>
              <w:rPr>
                <w:rFonts w:ascii="Arial" w:hAnsi="Arial" w:cs="Arial"/>
                <w:color w:val="000000"/>
                <w:sz w:val="17"/>
                <w:szCs w:val="17"/>
              </w:rPr>
            </w:pPr>
            <w:r w:rsidRPr="002D70DA">
              <w:rPr>
                <w:rFonts w:ascii="Arial" w:hAnsi="Arial" w:cs="Arial"/>
                <w:color w:val="000000"/>
                <w:sz w:val="17"/>
                <w:szCs w:val="17"/>
              </w:rPr>
              <w:t> </w:t>
            </w:r>
            <w:r w:rsidR="006B0864">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690161">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F1704" w:rsidRPr="002D70DA" w:rsidRDefault="0051139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756556"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r w:rsidR="006B0864">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756556" w:rsidP="005113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rsidP="00B13600">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Default="006B0864" w:rsidP="00B13600">
            <w:pPr>
              <w:jc w:val="right"/>
              <w:rPr>
                <w:rFonts w:ascii="Arial" w:hAnsi="Arial" w:cs="Arial"/>
                <w:b/>
                <w:bCs/>
                <w:color w:val="000000"/>
                <w:sz w:val="17"/>
                <w:szCs w:val="17"/>
              </w:rPr>
            </w:pPr>
            <w:r>
              <w:rPr>
                <w:rFonts w:ascii="Arial" w:hAnsi="Arial" w:cs="Arial"/>
                <w:b/>
                <w:bCs/>
                <w:color w:val="000000"/>
                <w:sz w:val="17"/>
                <w:szCs w:val="17"/>
              </w:rPr>
              <w:t>1613.93</w:t>
            </w:r>
          </w:p>
          <w:p w:rsidR="006B0864" w:rsidRPr="002D70DA" w:rsidRDefault="006B0864" w:rsidP="006B0864">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 w:colFirst="1" w:colLast="1"/>
            <w:r w:rsidRPr="002D70DA">
              <w:rPr>
                <w:rFonts w:ascii="Arial" w:hAnsi="Arial" w:cs="Arial"/>
                <w:b/>
                <w:bCs/>
                <w:color w:val="000000"/>
                <w:sz w:val="17"/>
                <w:szCs w:val="17"/>
              </w:rPr>
              <w:lastRenderedPageBreak/>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B0864" w:rsidRPr="006B0864" w:rsidRDefault="006B0864" w:rsidP="006B0864">
            <w:pPr>
              <w:rPr>
                <w:rFonts w:ascii="Arial" w:hAnsi="Arial" w:cs="Arial"/>
                <w:b/>
                <w:bCs/>
                <w:color w:val="000000"/>
                <w:sz w:val="17"/>
                <w:szCs w:val="17"/>
                <w14:numForm w14:val="lining"/>
              </w:rPr>
            </w:pPr>
            <w:r>
              <w:rPr>
                <w:rFonts w:ascii="Arial" w:hAnsi="Arial" w:cs="Arial"/>
                <w:b/>
                <w:bCs/>
                <w:color w:val="000000"/>
                <w:sz w:val="17"/>
                <w:szCs w:val="17"/>
                <w14:numForm w14:val="lining"/>
              </w:rPr>
              <w:t xml:space="preserve">                           $ 1613.93</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B13600" w:rsidP="002E7C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4"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4"/>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6B0864" w:rsidP="006B0864">
            <w:pPr>
              <w:rPr>
                <w:rFonts w:ascii="Arial" w:hAnsi="Arial" w:cs="Arial"/>
                <w:b/>
                <w:bCs/>
                <w:color w:val="000000"/>
                <w:sz w:val="17"/>
                <w:szCs w:val="17"/>
              </w:rPr>
            </w:pPr>
            <w:r>
              <w:rPr>
                <w:rFonts w:ascii="Arial" w:hAnsi="Arial" w:cs="Arial"/>
                <w:b/>
                <w:bCs/>
                <w:color w:val="000000"/>
                <w:sz w:val="17"/>
                <w:szCs w:val="17"/>
              </w:rPr>
              <w:t xml:space="preserve">                            $1613.93</w:t>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6335BE" w:rsidRPr="002D70DA" w:rsidRDefault="006335BE"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6B0864">
            <w:pPr>
              <w:jc w:val="right"/>
              <w:rPr>
                <w:rFonts w:ascii="Arial" w:hAnsi="Arial" w:cs="Arial"/>
                <w:b/>
                <w:bCs/>
                <w:color w:val="000000"/>
                <w:sz w:val="17"/>
                <w:szCs w:val="17"/>
              </w:rPr>
            </w:pPr>
            <w:r>
              <w:rPr>
                <w:rFonts w:ascii="Arial" w:hAnsi="Arial" w:cs="Arial"/>
                <w:b/>
                <w:bCs/>
                <w:color w:val="000000"/>
                <w:sz w:val="17"/>
                <w:szCs w:val="17"/>
              </w:rPr>
              <w:t>$78,322</w:t>
            </w:r>
            <w:r w:rsidR="00CE4092"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lastRenderedPageBreak/>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6B0864">
            <w:pPr>
              <w:jc w:val="right"/>
              <w:rPr>
                <w:rFonts w:ascii="Arial" w:hAnsi="Arial" w:cs="Arial"/>
                <w:b/>
                <w:bCs/>
                <w:color w:val="000000"/>
                <w:sz w:val="17"/>
                <w:szCs w:val="17"/>
              </w:rPr>
            </w:pPr>
            <w:r>
              <w:rPr>
                <w:rFonts w:ascii="Arial" w:hAnsi="Arial" w:cs="Arial"/>
                <w:b/>
                <w:bCs/>
                <w:color w:val="000000"/>
                <w:sz w:val="17"/>
                <w:szCs w:val="17"/>
                <w14:numForm w14:val="lining"/>
              </w:rPr>
              <w:t>$78,322</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6B0864">
            <w:pPr>
              <w:jc w:val="right"/>
              <w:rPr>
                <w:rFonts w:ascii="Arial" w:hAnsi="Arial" w:cs="Arial"/>
                <w:b/>
                <w:bCs/>
                <w:color w:val="000000"/>
                <w:sz w:val="17"/>
                <w:szCs w:val="17"/>
              </w:rPr>
            </w:pPr>
            <w:r>
              <w:rPr>
                <w:rFonts w:ascii="Arial" w:hAnsi="Arial" w:cs="Arial"/>
                <w:b/>
                <w:bCs/>
                <w:color w:val="000000"/>
                <w:sz w:val="17"/>
                <w:szCs w:val="17"/>
              </w:rPr>
              <w:t>$78,322</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Pr="002D70DA" w:rsidRDefault="00952BD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lastRenderedPageBreak/>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lastRenderedPageBreak/>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5760D4" w:rsidRDefault="005760D4" w:rsidP="00E771F3">
      <w:pPr>
        <w:autoSpaceDE w:val="0"/>
        <w:autoSpaceDN w:val="0"/>
        <w:adjustRightInd w:val="0"/>
        <w:spacing w:before="240" w:after="120"/>
        <w:jc w:val="center"/>
        <w:rPr>
          <w:rFonts w:ascii="Arial" w:eastAsia="Calibri" w:hAnsi="Arial" w:cs="Arial"/>
          <w:b/>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5000" w:type="pct"/>
        <w:jc w:val="center"/>
        <w:tblCellMar>
          <w:left w:w="70" w:type="dxa"/>
          <w:right w:w="70" w:type="dxa"/>
        </w:tblCellMar>
        <w:tblLook w:val="04A0" w:firstRow="1" w:lastRow="0" w:firstColumn="1" w:lastColumn="0" w:noHBand="0" w:noVBand="1"/>
      </w:tblPr>
      <w:tblGrid>
        <w:gridCol w:w="3598"/>
        <w:gridCol w:w="1585"/>
        <w:gridCol w:w="1585"/>
        <w:gridCol w:w="1585"/>
        <w:gridCol w:w="1585"/>
        <w:gridCol w:w="1585"/>
        <w:gridCol w:w="1765"/>
      </w:tblGrid>
      <w:tr w:rsidR="00E771F3" w:rsidRPr="002D70DA" w:rsidTr="00E771F3">
        <w:trPr>
          <w:trHeight w:val="960"/>
          <w:jc w:val="center"/>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60055">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Default="00160055">
            <w:pPr>
              <w:jc w:val="right"/>
              <w:rPr>
                <w:rFonts w:ascii="Arial" w:hAnsi="Arial" w:cs="Arial"/>
                <w:b/>
                <w:bCs/>
                <w:color w:val="000000"/>
                <w:sz w:val="17"/>
                <w:szCs w:val="17"/>
              </w:rPr>
            </w:pPr>
            <w:r>
              <w:rPr>
                <w:rFonts w:ascii="Arial" w:hAnsi="Arial" w:cs="Arial"/>
                <w:b/>
                <w:bCs/>
                <w:color w:val="000000"/>
                <w:sz w:val="17"/>
                <w:szCs w:val="17"/>
              </w:rPr>
              <w:t>0</w:t>
            </w:r>
          </w:p>
          <w:p w:rsidR="00160055" w:rsidRPr="002D70DA" w:rsidRDefault="00160055">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60055">
              <w:rPr>
                <w:rFonts w:ascii="Arial" w:hAnsi="Arial" w:cs="Arial"/>
                <w:color w:val="000000"/>
                <w:sz w:val="17"/>
                <w:szCs w:val="17"/>
              </w:rPr>
              <w:t>NO SE HA COMENZADO A RECONOCER LA DEPRECIACIÓN.</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60055">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60055">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606" w:type="pct"/>
            <w:tcBorders>
              <w:top w:val="nil"/>
              <w:left w:val="nil"/>
              <w:bottom w:val="single" w:sz="4" w:space="0" w:color="auto"/>
              <w:right w:val="single" w:sz="4" w:space="0" w:color="auto"/>
            </w:tcBorders>
            <w:shd w:val="clear" w:color="auto" w:fill="auto"/>
            <w:vAlign w:val="center"/>
          </w:tcPr>
          <w:p w:rsidR="00E771F3" w:rsidRDefault="00160055">
            <w:pPr>
              <w:jc w:val="right"/>
              <w:rPr>
                <w:rFonts w:ascii="Arial" w:hAnsi="Arial" w:cs="Arial"/>
                <w:b/>
                <w:bCs/>
                <w:color w:val="000000"/>
                <w:sz w:val="17"/>
                <w:szCs w:val="17"/>
              </w:rPr>
            </w:pPr>
            <w:r>
              <w:rPr>
                <w:rFonts w:ascii="Arial" w:hAnsi="Arial" w:cs="Arial"/>
                <w:b/>
                <w:bCs/>
                <w:color w:val="000000"/>
                <w:sz w:val="17"/>
                <w:szCs w:val="17"/>
              </w:rPr>
              <w:t>0</w:t>
            </w:r>
          </w:p>
          <w:p w:rsidR="00160055" w:rsidRPr="002D70DA" w:rsidRDefault="00160055" w:rsidP="00160055">
            <w:pPr>
              <w:jc w:val="center"/>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60055">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TRANSPORTE</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60055">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60055">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DEFENSA Y SEGURIDAD</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60055">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60055">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60055">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60055">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ACTIVOS BIOLÓGICOS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60055">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160055">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hideMark/>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hideMark/>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598"/>
        <w:gridCol w:w="1585"/>
        <w:gridCol w:w="1585"/>
        <w:gridCol w:w="1585"/>
        <w:gridCol w:w="1585"/>
        <w:gridCol w:w="1585"/>
        <w:gridCol w:w="1765"/>
      </w:tblGrid>
      <w:tr w:rsidR="00E771F3" w:rsidRPr="002D70DA" w:rsidTr="00E771F3">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r w:rsidR="00160055">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24"/>
        <w:gridCol w:w="1610"/>
        <w:gridCol w:w="1610"/>
        <w:gridCol w:w="1611"/>
        <w:gridCol w:w="1611"/>
        <w:gridCol w:w="1611"/>
        <w:gridCol w:w="1611"/>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160055" w:rsidP="00160055">
            <w:pPr>
              <w:jc w:val="both"/>
              <w:rPr>
                <w:rFonts w:ascii="Arial" w:hAnsi="Arial" w:cs="Arial"/>
                <w:b/>
                <w:bCs/>
                <w:color w:val="000000"/>
                <w:sz w:val="17"/>
                <w:szCs w:val="17"/>
              </w:rPr>
            </w:pPr>
            <w:r w:rsidRPr="002D70DA">
              <w:rPr>
                <w:rFonts w:ascii="Arial" w:hAnsi="Arial" w:cs="Arial"/>
                <w:color w:val="000000"/>
                <w:sz w:val="17"/>
                <w:szCs w:val="17"/>
              </w:rPr>
              <w:t> </w:t>
            </w:r>
            <w:r>
              <w:rPr>
                <w:rFonts w:ascii="Arial" w:hAnsi="Arial" w:cs="Arial"/>
                <w:color w:val="000000"/>
                <w:sz w:val="17"/>
                <w:szCs w:val="17"/>
              </w:rPr>
              <w:t>NO SE HA COMENZADO A RECONOCER LA AMORTIZACIÓN</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r w:rsidR="00160055">
              <w:rPr>
                <w:rFonts w:ascii="Arial" w:hAnsi="Arial" w:cs="Arial"/>
                <w:color w:val="000000"/>
                <w:sz w:val="17"/>
                <w:szCs w:val="17"/>
              </w:rPr>
              <w:t>NO APLICA</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5760D4" w:rsidRDefault="005760D4" w:rsidP="00BB302F">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r w:rsidR="00160055">
              <w:rPr>
                <w:rFonts w:ascii="Arial" w:hAnsi="Arial" w:cs="Arial"/>
                <w:color w:val="000000"/>
                <w:sz w:val="17"/>
                <w:szCs w:val="17"/>
              </w:rPr>
              <w:t>NO APLICA</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r w:rsidR="00160055">
              <w:rPr>
                <w:rFonts w:ascii="Arial" w:hAnsi="Arial" w:cs="Arial"/>
                <w:color w:val="000000"/>
                <w:sz w:val="17"/>
                <w:szCs w:val="17"/>
              </w:rPr>
              <w:t>NO APLICA</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6335BE" w:rsidRPr="002D70DA" w:rsidRDefault="006335BE"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3A2176">
            <w:pPr>
              <w:rPr>
                <w:rFonts w:ascii="Arial" w:hAnsi="Arial" w:cs="Arial"/>
                <w:color w:val="000000"/>
                <w:sz w:val="17"/>
                <w:szCs w:val="17"/>
              </w:rPr>
            </w:pPr>
            <w:r>
              <w:rPr>
                <w:rFonts w:ascii="Arial" w:hAnsi="Arial" w:cs="Arial"/>
                <w:color w:val="000000"/>
                <w:sz w:val="17"/>
                <w:szCs w:val="17"/>
              </w:rPr>
              <w:lastRenderedPageBreak/>
              <w:t>RETENCIONES Y CONTRIBUCIONES POR PAGAR A CORTO PLAZO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Default="00160055">
            <w:pPr>
              <w:jc w:val="right"/>
              <w:rPr>
                <w:rFonts w:ascii="Arial" w:hAnsi="Arial" w:cs="Arial"/>
                <w:b/>
                <w:bCs/>
                <w:color w:val="000000"/>
                <w:sz w:val="17"/>
                <w:szCs w:val="17"/>
              </w:rPr>
            </w:pPr>
            <w:r>
              <w:rPr>
                <w:rFonts w:ascii="Arial" w:hAnsi="Arial" w:cs="Arial"/>
                <w:b/>
                <w:bCs/>
                <w:color w:val="000000"/>
                <w:sz w:val="17"/>
                <w:szCs w:val="17"/>
              </w:rPr>
              <w:t>$138,195.81</w:t>
            </w:r>
          </w:p>
          <w:p w:rsidR="00160055" w:rsidRPr="002D70DA" w:rsidRDefault="0016005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A2176"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3A2176" w:rsidRPr="002D70DA" w:rsidRDefault="003A2176">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A2176" w:rsidRDefault="003A2176">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A2176" w:rsidRPr="002D70DA" w:rsidRDefault="003A2176">
            <w:pPr>
              <w:jc w:val="center"/>
              <w:rPr>
                <w:rFonts w:ascii="Arial" w:hAnsi="Arial" w:cs="Arial"/>
                <w:b/>
                <w:bCs/>
                <w:color w:val="000000"/>
                <w:sz w:val="17"/>
                <w:szCs w:val="17"/>
              </w:rPr>
            </w:pP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160055">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B35C2A" w:rsidRPr="002D70DA" w:rsidRDefault="00160055" w:rsidP="00B35C2A">
            <w:pPr>
              <w:jc w:val="right"/>
              <w:rPr>
                <w:rFonts w:ascii="Arial" w:hAnsi="Arial" w:cs="Arial"/>
                <w:b/>
                <w:bCs/>
                <w:color w:val="000000"/>
                <w:sz w:val="17"/>
                <w:szCs w:val="17"/>
              </w:rPr>
            </w:pPr>
            <w:r>
              <w:rPr>
                <w:rFonts w:ascii="Arial" w:hAnsi="Arial" w:cs="Arial"/>
                <w:b/>
                <w:bCs/>
                <w:color w:val="000000"/>
                <w:sz w:val="17"/>
                <w:szCs w:val="17"/>
              </w:rPr>
              <w:t>$138,195.81</w:t>
            </w:r>
          </w:p>
        </w:tc>
        <w:tc>
          <w:tcPr>
            <w:tcW w:w="2180" w:type="dxa"/>
            <w:tcBorders>
              <w:top w:val="nil"/>
              <w:left w:val="nil"/>
              <w:bottom w:val="nil"/>
              <w:right w:val="nil"/>
            </w:tcBorders>
            <w:shd w:val="clear" w:color="000000" w:fill="FFFFFF"/>
            <w:vAlign w:val="center"/>
          </w:tcPr>
          <w:p w:rsidR="00B35C2A" w:rsidRPr="002D70DA" w:rsidRDefault="00B35C2A" w:rsidP="00B35C2A">
            <w:pPr>
              <w:jc w:val="center"/>
              <w:rPr>
                <w:rFonts w:ascii="Arial" w:hAnsi="Arial" w:cs="Arial"/>
                <w:color w:val="000000"/>
                <w:sz w:val="17"/>
                <w:szCs w:val="17"/>
              </w:rPr>
            </w:pP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160055" w:rsidP="00B35C2A">
            <w:pPr>
              <w:jc w:val="right"/>
              <w:rPr>
                <w:rFonts w:ascii="Arial" w:hAnsi="Arial" w:cs="Arial"/>
                <w:b/>
                <w:bCs/>
                <w:color w:val="000000"/>
                <w:sz w:val="17"/>
                <w:szCs w:val="17"/>
              </w:rPr>
            </w:pPr>
            <w:r>
              <w:rPr>
                <w:rFonts w:ascii="Arial" w:hAnsi="Arial" w:cs="Arial"/>
                <w:b/>
                <w:bCs/>
                <w:color w:val="000000"/>
                <w:sz w:val="17"/>
                <w:szCs w:val="17"/>
              </w:rPr>
              <w:t>$138,195.81</w:t>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r w:rsidR="00160055">
              <w:rPr>
                <w:rFonts w:ascii="Arial" w:hAnsi="Arial" w:cs="Arial"/>
                <w:b/>
                <w:bCs/>
                <w:color w:val="000000"/>
                <w:sz w:val="17"/>
                <w:szCs w:val="17"/>
              </w:rPr>
              <w:t>NO APLICA</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160055">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NO APLICA</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160055">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NO APLICA</w:t>
            </w:r>
            <w:r w:rsidR="00B35C2A"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r w:rsidR="00160055" w:rsidRPr="002D70DA">
              <w:rPr>
                <w:rFonts w:ascii="Arial" w:hAnsi="Arial" w:cs="Arial"/>
                <w:b/>
                <w:bCs/>
                <w:color w:val="000000"/>
                <w:sz w:val="17"/>
                <w:szCs w:val="17"/>
              </w:rPr>
              <w:t> </w:t>
            </w:r>
            <w:r w:rsidR="00160055">
              <w:rPr>
                <w:rFonts w:ascii="Arial" w:hAnsi="Arial" w:cs="Arial"/>
                <w:b/>
                <w:bCs/>
                <w:color w:val="000000"/>
                <w:sz w:val="17"/>
                <w:szCs w:val="17"/>
              </w:rPr>
              <w:t>NO APLICA</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Default="00160055">
            <w:pPr>
              <w:jc w:val="right"/>
              <w:rPr>
                <w:rFonts w:ascii="Arial" w:hAnsi="Arial" w:cs="Arial"/>
                <w:b/>
                <w:bCs/>
                <w:color w:val="000000"/>
                <w:sz w:val="17"/>
                <w:szCs w:val="17"/>
              </w:rPr>
            </w:pPr>
            <w:r>
              <w:rPr>
                <w:rFonts w:ascii="Arial" w:hAnsi="Arial" w:cs="Arial"/>
                <w:b/>
                <w:bCs/>
                <w:color w:val="000000"/>
                <w:sz w:val="17"/>
                <w:szCs w:val="17"/>
              </w:rPr>
              <w:t>$180,000</w:t>
            </w:r>
          </w:p>
          <w:p w:rsidR="00160055" w:rsidRPr="002D70DA" w:rsidRDefault="0016005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160055">
            <w:pPr>
              <w:jc w:val="center"/>
              <w:rPr>
                <w:rFonts w:ascii="Arial" w:hAnsi="Arial" w:cs="Arial"/>
                <w:b/>
                <w:bCs/>
                <w:color w:val="000000"/>
                <w:sz w:val="17"/>
                <w:szCs w:val="17"/>
              </w:rPr>
            </w:pPr>
            <w:r>
              <w:rPr>
                <w:rFonts w:ascii="Arial" w:hAnsi="Arial" w:cs="Arial"/>
                <w:b/>
                <w:bCs/>
                <w:color w:val="000000"/>
                <w:sz w:val="17"/>
                <w:szCs w:val="17"/>
              </w:rPr>
              <w:t>LITIGIO LABORAL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160055">
            <w:pPr>
              <w:jc w:val="right"/>
              <w:rPr>
                <w:rFonts w:ascii="Arial" w:hAnsi="Arial" w:cs="Arial"/>
                <w:b/>
                <w:bCs/>
                <w:color w:val="000000"/>
                <w:sz w:val="17"/>
                <w:szCs w:val="17"/>
              </w:rPr>
            </w:pPr>
            <w:r>
              <w:rPr>
                <w:rFonts w:ascii="Arial" w:hAnsi="Arial" w:cs="Arial"/>
                <w:b/>
                <w:bCs/>
                <w:color w:val="000000"/>
                <w:sz w:val="17"/>
                <w:szCs w:val="17"/>
              </w:rPr>
              <w:t>$780,726</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160055">
            <w:pPr>
              <w:jc w:val="center"/>
              <w:rPr>
                <w:rFonts w:ascii="Arial" w:hAnsi="Arial" w:cs="Arial"/>
                <w:b/>
                <w:bCs/>
                <w:color w:val="000000"/>
                <w:sz w:val="17"/>
                <w:szCs w:val="17"/>
              </w:rPr>
            </w:pPr>
            <w:r>
              <w:rPr>
                <w:rFonts w:ascii="Arial" w:hAnsi="Arial" w:cs="Arial"/>
                <w:b/>
                <w:bCs/>
                <w:color w:val="000000"/>
                <w:sz w:val="17"/>
                <w:szCs w:val="17"/>
              </w:rPr>
              <w:t>DEPOSITOS EN GARÁNTIA DE LOS DEMANDANTES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160055" w:rsidP="00160055">
            <w:pPr>
              <w:jc w:val="right"/>
              <w:rPr>
                <w:rFonts w:ascii="Arial" w:hAnsi="Arial" w:cs="Arial"/>
                <w:b/>
                <w:bCs/>
                <w:color w:val="000000"/>
                <w:sz w:val="17"/>
                <w:szCs w:val="17"/>
              </w:rPr>
            </w:pPr>
            <w:r>
              <w:rPr>
                <w:rFonts w:ascii="Arial" w:hAnsi="Arial" w:cs="Arial"/>
                <w:b/>
                <w:bCs/>
                <w:color w:val="000000"/>
                <w:sz w:val="17"/>
                <w:szCs w:val="17"/>
                <w14:numForm w14:val="lining"/>
              </w:rPr>
              <w:t>$960,726</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160055" w:rsidP="006529CA">
            <w:pPr>
              <w:jc w:val="center"/>
              <w:rPr>
                <w:rFonts w:ascii="Arial" w:hAnsi="Arial" w:cs="Arial"/>
                <w:b/>
                <w:bCs/>
                <w:color w:val="000000"/>
                <w:sz w:val="17"/>
                <w:szCs w:val="17"/>
              </w:rPr>
            </w:pPr>
            <w:r>
              <w:rPr>
                <w:rFonts w:ascii="Arial" w:hAnsi="Arial" w:cs="Arial"/>
                <w:b/>
                <w:bCs/>
                <w:color w:val="000000"/>
                <w:sz w:val="17"/>
                <w:szCs w:val="17"/>
              </w:rPr>
              <w:t>NO APLICA</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6"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6"/>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160055">
            <w:pPr>
              <w:jc w:val="center"/>
              <w:rPr>
                <w:rFonts w:ascii="Arial" w:hAnsi="Arial" w:cs="Arial"/>
                <w:b/>
                <w:bCs/>
                <w:color w:val="000000"/>
                <w:sz w:val="17"/>
                <w:szCs w:val="17"/>
              </w:rPr>
            </w:pPr>
            <w:r>
              <w:rPr>
                <w:rFonts w:ascii="Arial" w:hAnsi="Arial" w:cs="Arial"/>
                <w:b/>
                <w:bCs/>
                <w:color w:val="000000"/>
                <w:sz w:val="17"/>
                <w:szCs w:val="17"/>
              </w:rPr>
              <w:t>NO APLICA</w:t>
            </w:r>
            <w:r w:rsidR="00692AFE"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r w:rsidRPr="002D70DA">
        <w:rPr>
          <w:rFonts w:ascii="Arial" w:eastAsia="Calibri" w:hAnsi="Arial" w:cs="Arial"/>
          <w:b/>
          <w:spacing w:val="-1"/>
          <w:sz w:val="17"/>
          <w:szCs w:val="17"/>
        </w:rPr>
        <w:br w:type="page"/>
      </w: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DE6958">
            <w:pPr>
              <w:jc w:val="right"/>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DE6958"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DE6958" w:rsidRPr="002D70DA" w:rsidRDefault="00DE6958">
            <w:pPr>
              <w:rPr>
                <w:rFonts w:ascii="Arial" w:hAnsi="Arial" w:cs="Arial"/>
                <w:color w:val="000000"/>
                <w:sz w:val="17"/>
                <w:szCs w:val="17"/>
              </w:rPr>
            </w:pPr>
            <w:r>
              <w:rPr>
                <w:rFonts w:ascii="Arial" w:hAnsi="Arial" w:cs="Arial"/>
                <w:color w:val="000000"/>
                <w:sz w:val="17"/>
                <w:szCs w:val="17"/>
              </w:rPr>
              <w:t>TRANSFERENCIAS, SUBSIDIOS, Y OTRAS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DE6958" w:rsidRPr="002D70DA" w:rsidRDefault="00DE695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DE6958" w:rsidRPr="002D70DA" w:rsidRDefault="00DE6958">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rsidP="000008C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DE6958">
            <w:pPr>
              <w:jc w:val="center"/>
              <w:rPr>
                <w:rFonts w:ascii="Arial" w:hAnsi="Arial" w:cs="Arial"/>
                <w:b/>
                <w:bCs/>
                <w:color w:val="000000"/>
                <w:sz w:val="17"/>
                <w:szCs w:val="17"/>
              </w:rPr>
            </w:pPr>
            <w:r>
              <w:rPr>
                <w:rFonts w:ascii="Arial" w:hAnsi="Arial" w:cs="Arial"/>
                <w:b/>
                <w:bCs/>
                <w:color w:val="000000"/>
                <w:sz w:val="17"/>
                <w:szCs w:val="17"/>
              </w:rPr>
              <w:t>NO APLICA</w:t>
            </w:r>
            <w:r w:rsidR="00EE16EB"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lastRenderedPageBreak/>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EE16EB" w:rsidP="00EE16E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right"/>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DE6958">
            <w:pPr>
              <w:rPr>
                <w:rFonts w:ascii="Arial" w:hAnsi="Arial" w:cs="Arial"/>
                <w:color w:val="000000"/>
                <w:sz w:val="17"/>
                <w:szCs w:val="17"/>
              </w:rPr>
            </w:pPr>
            <w:r>
              <w:rPr>
                <w:rFonts w:ascii="Arial" w:hAnsi="Arial" w:cs="Arial"/>
                <w:color w:val="000000"/>
                <w:sz w:val="17"/>
                <w:szCs w:val="17"/>
              </w:rPr>
              <w:t>REMUNERACIONES AL PERSONAL DE CARÁCTER PERMANENTE</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DE6958">
            <w:pPr>
              <w:jc w:val="right"/>
              <w:rPr>
                <w:rFonts w:ascii="Arial" w:hAnsi="Arial" w:cs="Arial"/>
                <w:b/>
                <w:bCs/>
                <w:color w:val="000000"/>
                <w:sz w:val="17"/>
                <w:szCs w:val="17"/>
              </w:rPr>
            </w:pPr>
            <w:r>
              <w:rPr>
                <w:rFonts w:ascii="Arial" w:hAnsi="Arial" w:cs="Arial"/>
                <w:b/>
                <w:bCs/>
                <w:color w:val="000000"/>
                <w:sz w:val="17"/>
                <w:szCs w:val="17"/>
              </w:rPr>
              <w:t>13,835,228.05</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DE6958">
            <w:pPr>
              <w:jc w:val="right"/>
              <w:rPr>
                <w:rFonts w:ascii="Arial" w:hAnsi="Arial" w:cs="Arial"/>
                <w:b/>
                <w:bCs/>
                <w:color w:val="000000"/>
                <w:sz w:val="17"/>
                <w:szCs w:val="17"/>
              </w:rPr>
            </w:pPr>
            <w:r>
              <w:rPr>
                <w:rFonts w:ascii="Arial" w:hAnsi="Arial" w:cs="Arial"/>
                <w:b/>
                <w:bCs/>
                <w:color w:val="000000"/>
                <w:sz w:val="17"/>
                <w:szCs w:val="17"/>
              </w:rPr>
              <w:t>43%</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Pr="002D70DA"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BD2CFC">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3A2176"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3A2176"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3A2176"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3A2176" w:rsidP="00D0525E">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3A2176">
            <w:pP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BD2CFC" w:rsidP="00C462F7">
            <w:pPr>
              <w:jc w:val="right"/>
              <w:rPr>
                <w:rFonts w:ascii="Arial" w:hAnsi="Arial" w:cs="Arial"/>
                <w:b/>
                <w:bCs/>
                <w:color w:val="000000"/>
                <w:sz w:val="17"/>
                <w:szCs w:val="17"/>
              </w:rPr>
            </w:pPr>
            <w:r>
              <w:rPr>
                <w:rFonts w:ascii="Arial" w:hAnsi="Arial" w:cs="Arial"/>
                <w:b/>
                <w:bCs/>
                <w:color w:val="000000"/>
                <w:sz w:val="17"/>
                <w:szCs w:val="17"/>
                <w14:numForm w14:val="lining"/>
              </w:rPr>
              <w:t>3,284,849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BD2CFC" w:rsidP="00C462F7">
            <w:pPr>
              <w:jc w:val="right"/>
              <w:rPr>
                <w:rFonts w:ascii="Arial" w:hAnsi="Arial" w:cs="Arial"/>
                <w:b/>
                <w:bCs/>
                <w:color w:val="000000"/>
                <w:sz w:val="17"/>
                <w:szCs w:val="17"/>
              </w:rPr>
            </w:pPr>
            <w:r>
              <w:rPr>
                <w:rFonts w:ascii="Arial" w:hAnsi="Arial" w:cs="Arial"/>
                <w:b/>
                <w:bCs/>
                <w:color w:val="000000"/>
                <w:sz w:val="17"/>
                <w:szCs w:val="17"/>
                <w14:numForm w14:val="lining"/>
              </w:rPr>
              <w:t>3,879,957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 xml:space="preserve">Otros </w:t>
            </w:r>
            <w:proofErr w:type="spellStart"/>
            <w:r w:rsidRPr="002D70DA">
              <w:rPr>
                <w:rFonts w:ascii="Arial" w:hAnsi="Arial" w:cs="Arial"/>
                <w:color w:val="000000"/>
                <w:sz w:val="17"/>
                <w:szCs w:val="17"/>
              </w:rPr>
              <w:t>Revalúos</w:t>
            </w:r>
            <w:proofErr w:type="spellEnd"/>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pPr>
              <w:jc w:val="center"/>
              <w:rPr>
                <w:rFonts w:ascii="Arial" w:hAnsi="Arial" w:cs="Arial"/>
                <w:b/>
                <w:bCs/>
                <w:color w:val="000000"/>
                <w:sz w:val="17"/>
                <w:szCs w:val="17"/>
              </w:rPr>
            </w:pPr>
            <w:r>
              <w:rPr>
                <w:rFonts w:ascii="Arial" w:hAnsi="Arial" w:cs="Arial"/>
                <w:b/>
                <w:bCs/>
                <w:color w:val="000000"/>
                <w:sz w:val="17"/>
                <w:szCs w:val="17"/>
              </w:rPr>
              <w:t>201</w:t>
            </w:r>
            <w:r w:rsidR="00DE6958">
              <w:rPr>
                <w:rFonts w:ascii="Arial" w:hAnsi="Arial" w:cs="Arial"/>
                <w:b/>
                <w:bCs/>
                <w:color w:val="000000"/>
                <w:sz w:val="17"/>
                <w:szCs w:val="17"/>
              </w:rPr>
              <w:t>6</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DE6958">
            <w:pPr>
              <w:jc w:val="right"/>
              <w:rPr>
                <w:rFonts w:ascii="Arial" w:hAnsi="Arial" w:cs="Arial"/>
                <w:b/>
                <w:bCs/>
                <w:color w:val="000000"/>
                <w:sz w:val="17"/>
                <w:szCs w:val="17"/>
              </w:rPr>
            </w:pPr>
            <w:r>
              <w:rPr>
                <w:rFonts w:ascii="Arial" w:hAnsi="Arial" w:cs="Arial"/>
                <w:b/>
                <w:bCs/>
                <w:color w:val="000000"/>
                <w:sz w:val="17"/>
                <w:szCs w:val="17"/>
              </w:rPr>
              <w:t>$4,085,981.90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DE6958">
            <w:pPr>
              <w:jc w:val="right"/>
              <w:rPr>
                <w:rFonts w:ascii="Arial" w:hAnsi="Arial" w:cs="Arial"/>
                <w:b/>
                <w:bCs/>
                <w:color w:val="000000"/>
                <w:sz w:val="17"/>
                <w:szCs w:val="17"/>
              </w:rPr>
            </w:pPr>
            <w:r>
              <w:rPr>
                <w:rFonts w:ascii="Arial" w:hAnsi="Arial" w:cs="Arial"/>
                <w:b/>
                <w:bCs/>
                <w:color w:val="000000"/>
                <w:sz w:val="17"/>
                <w:szCs w:val="17"/>
              </w:rPr>
              <w:t>$1,151,911.94</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717258">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717258">
            <w:pPr>
              <w:jc w:val="right"/>
              <w:rPr>
                <w:rFonts w:ascii="Arial" w:hAnsi="Arial" w:cs="Arial"/>
                <w:b/>
                <w:bCs/>
                <w:color w:val="000000"/>
                <w:sz w:val="17"/>
                <w:szCs w:val="17"/>
              </w:rPr>
            </w:pPr>
            <w:r>
              <w:rPr>
                <w:rFonts w:ascii="Arial" w:hAnsi="Arial" w:cs="Arial"/>
                <w:b/>
                <w:bCs/>
                <w:color w:val="000000"/>
                <w:sz w:val="17"/>
                <w:szCs w:val="17"/>
              </w:rPr>
              <w:t>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717258">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717258">
            <w:pPr>
              <w:jc w:val="right"/>
              <w:rPr>
                <w:rFonts w:ascii="Arial" w:hAnsi="Arial" w:cs="Arial"/>
                <w:b/>
                <w:bCs/>
                <w:color w:val="000000"/>
                <w:sz w:val="17"/>
                <w:szCs w:val="17"/>
              </w:rPr>
            </w:pPr>
            <w:r>
              <w:rPr>
                <w:rFonts w:ascii="Arial" w:hAnsi="Arial" w:cs="Arial"/>
                <w:b/>
                <w:bCs/>
                <w:color w:val="000000"/>
                <w:sz w:val="17"/>
                <w:szCs w:val="17"/>
              </w:rPr>
              <w:t>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717258">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717258">
            <w:pPr>
              <w:jc w:val="right"/>
              <w:rPr>
                <w:rFonts w:ascii="Arial" w:hAnsi="Arial" w:cs="Arial"/>
                <w:b/>
                <w:bCs/>
                <w:color w:val="000000"/>
                <w:sz w:val="17"/>
                <w:szCs w:val="17"/>
              </w:rPr>
            </w:pPr>
            <w:r>
              <w:rPr>
                <w:rFonts w:ascii="Arial" w:hAnsi="Arial" w:cs="Arial"/>
                <w:b/>
                <w:bCs/>
                <w:color w:val="000000"/>
                <w:sz w:val="17"/>
                <w:szCs w:val="17"/>
              </w:rPr>
              <w:t>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717258">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717258">
            <w:pPr>
              <w:jc w:val="right"/>
              <w:rPr>
                <w:rFonts w:ascii="Arial" w:hAnsi="Arial" w:cs="Arial"/>
                <w:b/>
                <w:bCs/>
                <w:color w:val="000000"/>
                <w:sz w:val="17"/>
                <w:szCs w:val="17"/>
              </w:rPr>
            </w:pPr>
            <w:r>
              <w:rPr>
                <w:rFonts w:ascii="Arial" w:hAnsi="Arial" w:cs="Arial"/>
                <w:b/>
                <w:bCs/>
                <w:color w:val="000000"/>
                <w:sz w:val="17"/>
                <w:szCs w:val="17"/>
              </w:rPr>
              <w:t>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717258">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717258">
            <w:pPr>
              <w:jc w:val="right"/>
              <w:rPr>
                <w:rFonts w:ascii="Arial" w:hAnsi="Arial" w:cs="Arial"/>
                <w:b/>
                <w:bCs/>
                <w:color w:val="000000"/>
                <w:sz w:val="17"/>
                <w:szCs w:val="17"/>
              </w:rPr>
            </w:pPr>
            <w:r>
              <w:rPr>
                <w:rFonts w:ascii="Arial" w:hAnsi="Arial" w:cs="Arial"/>
                <w:b/>
                <w:bCs/>
                <w:color w:val="000000"/>
                <w:sz w:val="17"/>
                <w:szCs w:val="17"/>
              </w:rPr>
              <w:t>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717258">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717258">
            <w:pPr>
              <w:jc w:val="right"/>
              <w:rPr>
                <w:rFonts w:ascii="Arial" w:hAnsi="Arial" w:cs="Arial"/>
                <w:b/>
                <w:bCs/>
                <w:color w:val="000000"/>
                <w:sz w:val="17"/>
                <w:szCs w:val="17"/>
              </w:rPr>
            </w:pPr>
            <w:r>
              <w:rPr>
                <w:rFonts w:ascii="Arial" w:hAnsi="Arial" w:cs="Arial"/>
                <w:b/>
                <w:bCs/>
                <w:color w:val="000000"/>
                <w:sz w:val="17"/>
                <w:szCs w:val="17"/>
              </w:rPr>
              <w:t>0</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DE6958" w:rsidP="00E72587">
            <w:pPr>
              <w:jc w:val="right"/>
              <w:rPr>
                <w:rFonts w:ascii="Arial" w:hAnsi="Arial" w:cs="Arial"/>
                <w:b/>
                <w:bCs/>
                <w:color w:val="000000"/>
                <w:sz w:val="17"/>
                <w:szCs w:val="17"/>
              </w:rPr>
            </w:pPr>
            <w:r>
              <w:rPr>
                <w:rFonts w:ascii="Arial" w:hAnsi="Arial" w:cs="Arial"/>
                <w:b/>
                <w:bCs/>
                <w:color w:val="000000"/>
                <w:sz w:val="17"/>
                <w:szCs w:val="17"/>
              </w:rPr>
              <w:t>$4,085,981.90</w:t>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DE6958" w:rsidP="00717258">
            <w:pPr>
              <w:jc w:val="right"/>
              <w:rPr>
                <w:rFonts w:ascii="Arial" w:hAnsi="Arial" w:cs="Arial"/>
                <w:b/>
                <w:bCs/>
                <w:color w:val="000000"/>
                <w:sz w:val="17"/>
                <w:szCs w:val="17"/>
              </w:rPr>
            </w:pPr>
            <w:r>
              <w:rPr>
                <w:rFonts w:ascii="Arial" w:hAnsi="Arial" w:cs="Arial"/>
                <w:b/>
                <w:bCs/>
                <w:color w:val="000000"/>
                <w:sz w:val="17"/>
                <w:szCs w:val="17"/>
                <w14:numForm w14:val="lining"/>
              </w:rPr>
              <w:t xml:space="preserve"> $</w:t>
            </w:r>
            <w:r w:rsidR="00717258">
              <w:rPr>
                <w:rFonts w:ascii="Arial" w:hAnsi="Arial" w:cs="Arial"/>
                <w:b/>
                <w:bCs/>
                <w:color w:val="000000"/>
                <w:sz w:val="17"/>
                <w:szCs w:val="17"/>
                <w14:numForm w14:val="lining"/>
              </w:rPr>
              <w:t>1,151,911.94</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BD2CFC">
            <w:pPr>
              <w:jc w:val="center"/>
              <w:rPr>
                <w:rFonts w:ascii="Arial" w:hAnsi="Arial" w:cs="Arial"/>
                <w:b/>
                <w:bCs/>
                <w:color w:val="000000"/>
                <w:sz w:val="17"/>
                <w:szCs w:val="17"/>
              </w:rPr>
            </w:pPr>
            <w:r>
              <w:rPr>
                <w:rFonts w:ascii="Arial" w:hAnsi="Arial" w:cs="Arial"/>
                <w:b/>
                <w:bCs/>
                <w:color w:val="000000"/>
                <w:sz w:val="17"/>
                <w:szCs w:val="17"/>
              </w:rPr>
              <w:t>NO APLICA</w:t>
            </w:r>
            <w:r w:rsidR="00DF74BA"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F74BA"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Pr>
                <w:rFonts w:ascii="Arial" w:hAnsi="Arial" w:cs="Arial"/>
                <w:b/>
                <w:bCs/>
                <w:color w:val="000000"/>
                <w:sz w:val="17"/>
                <w:szCs w:val="17"/>
              </w:rPr>
              <w:t>201</w:t>
            </w:r>
            <w:r w:rsidR="00BD2CFC">
              <w:rPr>
                <w:rFonts w:ascii="Arial" w:hAnsi="Arial" w:cs="Arial"/>
                <w:b/>
                <w:bCs/>
                <w:color w:val="000000"/>
                <w:sz w:val="17"/>
                <w:szCs w:val="17"/>
              </w:rPr>
              <w:t>6</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4C6423">
            <w:pPr>
              <w:jc w:val="right"/>
              <w:rPr>
                <w:rFonts w:ascii="Arial" w:hAnsi="Arial" w:cs="Arial"/>
                <w:b/>
                <w:bCs/>
                <w:color w:val="000000"/>
                <w:sz w:val="17"/>
                <w:szCs w:val="17"/>
              </w:rPr>
            </w:pPr>
            <w:r>
              <w:rPr>
                <w:rFonts w:ascii="Arial" w:hAnsi="Arial" w:cs="Arial"/>
                <w:b/>
                <w:bCs/>
                <w:color w:val="000000"/>
                <w:sz w:val="17"/>
                <w:szCs w:val="17"/>
              </w:rPr>
              <w:t>$</w:t>
            </w:r>
            <w:r w:rsidRPr="004C6423">
              <w:rPr>
                <w:rFonts w:ascii="Arial" w:hAnsi="Arial" w:cs="Arial"/>
                <w:b/>
                <w:bCs/>
                <w:color w:val="000000"/>
                <w:sz w:val="17"/>
                <w:szCs w:val="17"/>
              </w:rPr>
              <w:t>35</w:t>
            </w:r>
            <w:r>
              <w:rPr>
                <w:rFonts w:ascii="Arial" w:hAnsi="Arial" w:cs="Arial"/>
                <w:b/>
                <w:bCs/>
                <w:color w:val="000000"/>
                <w:sz w:val="17"/>
                <w:szCs w:val="17"/>
              </w:rPr>
              <w:t>,</w:t>
            </w:r>
            <w:r w:rsidRPr="004C6423">
              <w:rPr>
                <w:rFonts w:ascii="Arial" w:hAnsi="Arial" w:cs="Arial"/>
                <w:b/>
                <w:bCs/>
                <w:color w:val="000000"/>
                <w:sz w:val="17"/>
                <w:szCs w:val="17"/>
              </w:rPr>
              <w:t>654</w:t>
            </w:r>
            <w:r>
              <w:rPr>
                <w:rFonts w:ascii="Arial" w:hAnsi="Arial" w:cs="Arial"/>
                <w:b/>
                <w:bCs/>
                <w:color w:val="000000"/>
                <w:sz w:val="17"/>
                <w:szCs w:val="17"/>
              </w:rPr>
              <w:t>,</w:t>
            </w:r>
            <w:r w:rsidRPr="004C6423">
              <w:rPr>
                <w:rFonts w:ascii="Arial" w:hAnsi="Arial" w:cs="Arial"/>
                <w:b/>
                <w:bCs/>
                <w:color w:val="000000"/>
                <w:sz w:val="17"/>
                <w:szCs w:val="17"/>
              </w:rPr>
              <w:t>599.74</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4C64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tcPr>
          <w:p w:rsidR="002746E2" w:rsidRPr="002D70DA" w:rsidRDefault="004C6423" w:rsidP="002746E2">
            <w:pPr>
              <w:jc w:val="right"/>
              <w:rPr>
                <w:rFonts w:ascii="Arial" w:hAnsi="Arial" w:cs="Arial"/>
                <w:b/>
                <w:bCs/>
                <w:color w:val="000000"/>
                <w:sz w:val="17"/>
                <w:szCs w:val="17"/>
              </w:rPr>
            </w:pPr>
            <w:r>
              <w:rPr>
                <w:rFonts w:ascii="Arial" w:hAnsi="Arial" w:cs="Arial"/>
                <w:b/>
                <w:bCs/>
                <w:color w:val="000000"/>
                <w:sz w:val="17"/>
                <w:szCs w:val="17"/>
              </w:rPr>
              <w:t>$</w:t>
            </w:r>
            <w:r w:rsidRPr="004C6423">
              <w:rPr>
                <w:rFonts w:ascii="Arial" w:hAnsi="Arial" w:cs="Arial"/>
                <w:b/>
                <w:bCs/>
                <w:color w:val="000000"/>
                <w:sz w:val="17"/>
                <w:szCs w:val="17"/>
              </w:rPr>
              <w:t>35</w:t>
            </w:r>
            <w:r>
              <w:rPr>
                <w:rFonts w:ascii="Arial" w:hAnsi="Arial" w:cs="Arial"/>
                <w:b/>
                <w:bCs/>
                <w:color w:val="000000"/>
                <w:sz w:val="17"/>
                <w:szCs w:val="17"/>
              </w:rPr>
              <w:t>,</w:t>
            </w:r>
            <w:r w:rsidRPr="004C6423">
              <w:rPr>
                <w:rFonts w:ascii="Arial" w:hAnsi="Arial" w:cs="Arial"/>
                <w:b/>
                <w:bCs/>
                <w:color w:val="000000"/>
                <w:sz w:val="17"/>
                <w:szCs w:val="17"/>
              </w:rPr>
              <w:t>654</w:t>
            </w:r>
            <w:r>
              <w:rPr>
                <w:rFonts w:ascii="Arial" w:hAnsi="Arial" w:cs="Arial"/>
                <w:b/>
                <w:bCs/>
                <w:color w:val="000000"/>
                <w:sz w:val="17"/>
                <w:szCs w:val="17"/>
              </w:rPr>
              <w:t>,</w:t>
            </w:r>
            <w:r w:rsidRPr="004C6423">
              <w:rPr>
                <w:rFonts w:ascii="Arial" w:hAnsi="Arial" w:cs="Arial"/>
                <w:b/>
                <w:bCs/>
                <w:color w:val="000000"/>
                <w:sz w:val="17"/>
                <w:szCs w:val="17"/>
              </w:rPr>
              <w:t>599.74</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4C6423" w:rsidP="002746E2">
            <w:pPr>
              <w:jc w:val="right"/>
              <w:rPr>
                <w:rFonts w:ascii="Arial" w:hAnsi="Arial" w:cs="Arial"/>
                <w:b/>
                <w:bCs/>
                <w:color w:val="000000"/>
                <w:sz w:val="17"/>
                <w:szCs w:val="17"/>
              </w:rPr>
            </w:pPr>
            <w:r>
              <w:rPr>
                <w:rFonts w:ascii="Arial" w:hAnsi="Arial" w:cs="Arial"/>
                <w:b/>
                <w:bCs/>
                <w:color w:val="000000"/>
                <w:sz w:val="17"/>
                <w:szCs w:val="17"/>
              </w:rPr>
              <w:t>$</w:t>
            </w:r>
            <w:r w:rsidRPr="004C6423">
              <w:rPr>
                <w:rFonts w:ascii="Arial" w:hAnsi="Arial" w:cs="Arial"/>
                <w:b/>
                <w:bCs/>
                <w:color w:val="000000"/>
                <w:sz w:val="17"/>
                <w:szCs w:val="17"/>
              </w:rPr>
              <w:t>32</w:t>
            </w:r>
            <w:r>
              <w:rPr>
                <w:rFonts w:ascii="Arial" w:hAnsi="Arial" w:cs="Arial"/>
                <w:b/>
                <w:bCs/>
                <w:color w:val="000000"/>
                <w:sz w:val="17"/>
                <w:szCs w:val="17"/>
              </w:rPr>
              <w:t>,</w:t>
            </w:r>
            <w:r w:rsidRPr="004C6423">
              <w:rPr>
                <w:rFonts w:ascii="Arial" w:hAnsi="Arial" w:cs="Arial"/>
                <w:b/>
                <w:bCs/>
                <w:color w:val="000000"/>
                <w:sz w:val="17"/>
                <w:szCs w:val="17"/>
              </w:rPr>
              <w:t>507</w:t>
            </w:r>
            <w:r>
              <w:rPr>
                <w:rFonts w:ascii="Arial" w:hAnsi="Arial" w:cs="Arial"/>
                <w:b/>
                <w:bCs/>
                <w:color w:val="000000"/>
                <w:sz w:val="17"/>
                <w:szCs w:val="17"/>
              </w:rPr>
              <w:t>,</w:t>
            </w:r>
            <w:r w:rsidRPr="004C6423">
              <w:rPr>
                <w:rFonts w:ascii="Arial" w:hAnsi="Arial" w:cs="Arial"/>
                <w:b/>
                <w:bCs/>
                <w:color w:val="000000"/>
                <w:sz w:val="17"/>
                <w:szCs w:val="17"/>
              </w:rPr>
              <w:t>380.34</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4C6423" w:rsidP="004C6423">
            <w:pPr>
              <w:jc w:val="right"/>
              <w:rPr>
                <w:rFonts w:ascii="Arial" w:hAnsi="Arial" w:cs="Arial"/>
                <w:b/>
                <w:bCs/>
                <w:color w:val="000000"/>
                <w:sz w:val="17"/>
                <w:szCs w:val="17"/>
              </w:rPr>
            </w:pPr>
            <w:r>
              <w:rPr>
                <w:rFonts w:ascii="Arial" w:hAnsi="Arial" w:cs="Arial"/>
                <w:b/>
                <w:bCs/>
                <w:color w:val="000000"/>
                <w:sz w:val="17"/>
                <w:szCs w:val="17"/>
                <w14:numForm w14:val="lining"/>
              </w:rPr>
              <w:t>$127,175.78</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4C6423" w:rsidP="002746E2">
            <w:pPr>
              <w:jc w:val="right"/>
              <w:rPr>
                <w:rFonts w:ascii="Arial" w:hAnsi="Arial" w:cs="Arial"/>
                <w:b/>
                <w:bCs/>
                <w:color w:val="000000"/>
                <w:sz w:val="17"/>
                <w:szCs w:val="17"/>
              </w:rPr>
            </w:pPr>
            <w:r>
              <w:rPr>
                <w:rFonts w:ascii="Arial" w:hAnsi="Arial" w:cs="Arial"/>
                <w:b/>
                <w:bCs/>
                <w:color w:val="000000"/>
                <w:sz w:val="17"/>
                <w:szCs w:val="17"/>
              </w:rPr>
              <w:t>$</w:t>
            </w:r>
            <w:r w:rsidRPr="004C6423">
              <w:rPr>
                <w:rFonts w:ascii="Arial" w:hAnsi="Arial" w:cs="Arial"/>
                <w:b/>
                <w:bCs/>
                <w:color w:val="000000"/>
                <w:sz w:val="17"/>
                <w:szCs w:val="17"/>
              </w:rPr>
              <w:t>127</w:t>
            </w:r>
            <w:r>
              <w:rPr>
                <w:rFonts w:ascii="Arial" w:hAnsi="Arial" w:cs="Arial"/>
                <w:b/>
                <w:bCs/>
                <w:color w:val="000000"/>
                <w:sz w:val="17"/>
                <w:szCs w:val="17"/>
              </w:rPr>
              <w:t>,</w:t>
            </w:r>
            <w:r w:rsidRPr="004C6423">
              <w:rPr>
                <w:rFonts w:ascii="Arial" w:hAnsi="Arial" w:cs="Arial"/>
                <w:b/>
                <w:bCs/>
                <w:color w:val="000000"/>
                <w:sz w:val="17"/>
                <w:szCs w:val="17"/>
              </w:rPr>
              <w:t>175.78</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Default="004C6423" w:rsidP="004C6423">
            <w:pPr>
              <w:jc w:val="right"/>
              <w:rPr>
                <w:rFonts w:ascii="Arial" w:hAnsi="Arial" w:cs="Arial"/>
                <w:b/>
                <w:bCs/>
                <w:color w:val="000000"/>
                <w:sz w:val="17"/>
                <w:szCs w:val="17"/>
              </w:rPr>
            </w:pPr>
            <w:r>
              <w:rPr>
                <w:rFonts w:ascii="Arial" w:hAnsi="Arial" w:cs="Arial"/>
                <w:b/>
                <w:bCs/>
                <w:color w:val="000000"/>
                <w:sz w:val="17"/>
                <w:szCs w:val="17"/>
              </w:rPr>
              <w:t>$</w:t>
            </w:r>
            <w:r w:rsidRPr="004C6423">
              <w:rPr>
                <w:rFonts w:ascii="Arial" w:hAnsi="Arial" w:cs="Arial"/>
                <w:b/>
                <w:bCs/>
                <w:color w:val="000000"/>
                <w:sz w:val="17"/>
                <w:szCs w:val="17"/>
              </w:rPr>
              <w:t>32</w:t>
            </w:r>
            <w:r>
              <w:rPr>
                <w:rFonts w:ascii="Arial" w:hAnsi="Arial" w:cs="Arial"/>
                <w:b/>
                <w:bCs/>
                <w:color w:val="000000"/>
                <w:sz w:val="17"/>
                <w:szCs w:val="17"/>
              </w:rPr>
              <w:t>,</w:t>
            </w:r>
            <w:r w:rsidRPr="004C6423">
              <w:rPr>
                <w:rFonts w:ascii="Arial" w:hAnsi="Arial" w:cs="Arial"/>
                <w:b/>
                <w:bCs/>
                <w:color w:val="000000"/>
                <w:sz w:val="17"/>
                <w:szCs w:val="17"/>
              </w:rPr>
              <w:t>380</w:t>
            </w:r>
            <w:r>
              <w:rPr>
                <w:rFonts w:ascii="Arial" w:hAnsi="Arial" w:cs="Arial"/>
                <w:b/>
                <w:bCs/>
                <w:color w:val="000000"/>
                <w:sz w:val="17"/>
                <w:szCs w:val="17"/>
              </w:rPr>
              <w:t>,</w:t>
            </w:r>
            <w:r w:rsidRPr="004C6423">
              <w:rPr>
                <w:rFonts w:ascii="Arial" w:hAnsi="Arial" w:cs="Arial"/>
                <w:b/>
                <w:bCs/>
                <w:color w:val="000000"/>
                <w:sz w:val="17"/>
                <w:szCs w:val="17"/>
              </w:rPr>
              <w:t>20</w:t>
            </w:r>
            <w:r>
              <w:rPr>
                <w:rFonts w:ascii="Arial" w:hAnsi="Arial" w:cs="Arial"/>
                <w:b/>
                <w:bCs/>
                <w:color w:val="000000"/>
                <w:sz w:val="17"/>
                <w:szCs w:val="17"/>
              </w:rPr>
              <w:t>4.86</w:t>
            </w:r>
          </w:p>
          <w:p w:rsidR="004C6423" w:rsidRPr="002D70DA" w:rsidRDefault="004C6423" w:rsidP="004C6423">
            <w:pPr>
              <w:jc w:val="right"/>
              <w:rPr>
                <w:rFonts w:ascii="Arial" w:hAnsi="Arial" w:cs="Arial"/>
                <w:b/>
                <w:bCs/>
                <w:color w:val="000000"/>
                <w:sz w:val="17"/>
                <w:szCs w:val="17"/>
              </w:rPr>
            </w:pP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2B5A44">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2E6460">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0154D1">
            <w:pPr>
              <w:jc w:val="right"/>
              <w:rPr>
                <w:rFonts w:ascii="Calibri" w:hAnsi="Calibri"/>
                <w:b/>
                <w:bCs/>
                <w:color w:val="000000"/>
                <w:sz w:val="18"/>
                <w:szCs w:val="18"/>
              </w:rPr>
            </w:pPr>
            <w:r>
              <w:rPr>
                <w:rFonts w:ascii="Calibri" w:hAnsi="Calibri"/>
                <w:b/>
                <w:bCs/>
                <w:color w:val="000000"/>
                <w:sz w:val="18"/>
                <w:szCs w:val="18"/>
              </w:rPr>
              <w:t>24,774,402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C17CE0" w:rsidRDefault="000154D1">
            <w:pPr>
              <w:jc w:val="right"/>
              <w:rPr>
                <w:rFonts w:ascii="Calibri" w:hAnsi="Calibri"/>
                <w:b/>
                <w:bCs/>
                <w:color w:val="000000"/>
                <w:sz w:val="18"/>
                <w:szCs w:val="18"/>
              </w:rPr>
            </w:pPr>
            <w:r>
              <w:rPr>
                <w:rFonts w:ascii="Calibri" w:hAnsi="Calibri"/>
                <w:b/>
                <w:bCs/>
                <w:color w:val="000000"/>
                <w:sz w:val="18"/>
                <w:szCs w:val="18"/>
              </w:rPr>
              <w:t>24,774,402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0154D1">
            <w:pPr>
              <w:jc w:val="right"/>
              <w:rPr>
                <w:rFonts w:ascii="Calibri" w:hAnsi="Calibri"/>
                <w:b/>
                <w:bCs/>
                <w:color w:val="000000"/>
                <w:sz w:val="18"/>
                <w:szCs w:val="18"/>
              </w:rPr>
            </w:pPr>
            <w:r>
              <w:rPr>
                <w:rFonts w:ascii="Calibri" w:hAnsi="Calibri"/>
                <w:b/>
                <w:bCs/>
                <w:color w:val="000000"/>
                <w:sz w:val="18"/>
                <w:szCs w:val="18"/>
              </w:rPr>
              <w:t>10,880,000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0154D1" w:rsidRDefault="000154D1" w:rsidP="000154D1">
            <w:pPr>
              <w:jc w:val="right"/>
              <w:rPr>
                <w:rFonts w:ascii="Calibri" w:hAnsi="Calibri"/>
                <w:b/>
                <w:bCs/>
                <w:color w:val="000000"/>
                <w:sz w:val="18"/>
                <w:szCs w:val="18"/>
              </w:rPr>
            </w:pPr>
            <w:r>
              <w:rPr>
                <w:rFonts w:ascii="Calibri" w:hAnsi="Calibri"/>
                <w:b/>
                <w:bCs/>
                <w:color w:val="000000"/>
                <w:sz w:val="18"/>
                <w:szCs w:val="18"/>
              </w:rPr>
              <w:t>35,654,600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C17CE0" w:rsidRDefault="000154D1">
            <w:pPr>
              <w:jc w:val="right"/>
              <w:rPr>
                <w:rFonts w:ascii="Calibri" w:hAnsi="Calibri"/>
                <w:b/>
                <w:bCs/>
                <w:color w:val="000000"/>
                <w:sz w:val="18"/>
                <w:szCs w:val="18"/>
              </w:rPr>
            </w:pPr>
            <w:r>
              <w:rPr>
                <w:rFonts w:ascii="Calibri" w:hAnsi="Calibri"/>
                <w:b/>
                <w:bCs/>
                <w:color w:val="000000"/>
                <w:sz w:val="18"/>
                <w:szCs w:val="18"/>
              </w:rPr>
              <w:t>35,654,600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C17CE0">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0154D1" w:rsidP="00C17CE0">
            <w:pPr>
              <w:jc w:val="right"/>
              <w:rPr>
                <w:rFonts w:ascii="Calibri" w:hAnsi="Calibri"/>
                <w:b/>
                <w:bCs/>
                <w:color w:val="000000"/>
                <w:sz w:val="18"/>
                <w:szCs w:val="18"/>
              </w:rPr>
            </w:pPr>
            <w:r>
              <w:rPr>
                <w:rFonts w:ascii="Calibri" w:hAnsi="Calibri"/>
                <w:b/>
                <w:bCs/>
                <w:color w:val="000000"/>
                <w:sz w:val="18"/>
                <w:szCs w:val="18"/>
              </w:rPr>
              <w:t>24,774,402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C17CE0" w:rsidRDefault="000154D1" w:rsidP="00C17CE0">
            <w:pPr>
              <w:jc w:val="right"/>
              <w:rPr>
                <w:rFonts w:ascii="Calibri" w:hAnsi="Calibri"/>
                <w:b/>
                <w:bCs/>
                <w:color w:val="000000"/>
                <w:sz w:val="18"/>
                <w:szCs w:val="18"/>
              </w:rPr>
            </w:pPr>
            <w:r>
              <w:rPr>
                <w:rFonts w:ascii="Calibri" w:hAnsi="Calibri"/>
                <w:b/>
                <w:bCs/>
                <w:color w:val="000000"/>
                <w:sz w:val="18"/>
                <w:szCs w:val="18"/>
              </w:rPr>
              <w:t>24,774,402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0154D1" w:rsidP="00C17CE0">
            <w:pPr>
              <w:jc w:val="right"/>
              <w:rPr>
                <w:rFonts w:ascii="Calibri" w:hAnsi="Calibri"/>
                <w:b/>
                <w:bCs/>
                <w:color w:val="000000"/>
                <w:sz w:val="18"/>
                <w:szCs w:val="18"/>
              </w:rPr>
            </w:pPr>
            <w:r>
              <w:rPr>
                <w:rFonts w:ascii="Calibri" w:hAnsi="Calibri"/>
                <w:b/>
                <w:bCs/>
                <w:color w:val="000000"/>
                <w:sz w:val="18"/>
                <w:szCs w:val="18"/>
              </w:rPr>
              <w:t>10,880,000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C17CE0" w:rsidRDefault="000154D1" w:rsidP="00C17CE0">
            <w:pPr>
              <w:jc w:val="right"/>
              <w:rPr>
                <w:rFonts w:ascii="Calibri" w:hAnsi="Calibri"/>
                <w:b/>
                <w:bCs/>
                <w:color w:val="000000"/>
                <w:sz w:val="18"/>
                <w:szCs w:val="18"/>
              </w:rPr>
            </w:pPr>
            <w:r>
              <w:rPr>
                <w:rFonts w:ascii="Calibri" w:hAnsi="Calibri"/>
                <w:b/>
                <w:bCs/>
                <w:color w:val="000000"/>
                <w:sz w:val="18"/>
                <w:szCs w:val="18"/>
              </w:rPr>
              <w:t>35,654,600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0154D1" w:rsidP="00C17CE0">
            <w:pPr>
              <w:jc w:val="right"/>
              <w:rPr>
                <w:rFonts w:ascii="Calibri" w:hAnsi="Calibri"/>
                <w:b/>
                <w:bCs/>
                <w:color w:val="000000"/>
                <w:sz w:val="18"/>
                <w:szCs w:val="18"/>
              </w:rPr>
            </w:pPr>
            <w:r>
              <w:rPr>
                <w:rFonts w:ascii="Calibri" w:hAnsi="Calibri"/>
                <w:b/>
                <w:bCs/>
                <w:color w:val="000000"/>
                <w:sz w:val="18"/>
                <w:szCs w:val="18"/>
              </w:rPr>
              <w:t>32,507,380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C17CE0" w:rsidRDefault="000154D1" w:rsidP="00C17CE0">
            <w:pPr>
              <w:jc w:val="right"/>
              <w:rPr>
                <w:rFonts w:ascii="Calibri" w:hAnsi="Calibri"/>
                <w:b/>
                <w:bCs/>
                <w:color w:val="000000"/>
                <w:sz w:val="18"/>
                <w:szCs w:val="18"/>
              </w:rPr>
            </w:pPr>
            <w:r>
              <w:rPr>
                <w:rFonts w:ascii="Calibri" w:hAnsi="Calibri"/>
                <w:b/>
                <w:bCs/>
                <w:color w:val="000000"/>
                <w:sz w:val="18"/>
                <w:szCs w:val="18"/>
              </w:rPr>
              <w:t>32,507,380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0154D1" w:rsidP="00C17CE0">
            <w:pPr>
              <w:jc w:val="right"/>
              <w:rPr>
                <w:rFonts w:ascii="Calibri" w:hAnsi="Calibri"/>
                <w:b/>
                <w:bCs/>
                <w:color w:val="000000"/>
                <w:sz w:val="18"/>
                <w:szCs w:val="18"/>
              </w:rPr>
            </w:pPr>
            <w:r>
              <w:rPr>
                <w:rFonts w:ascii="Calibri" w:hAnsi="Calibri"/>
                <w:b/>
                <w:bCs/>
                <w:color w:val="000000"/>
                <w:sz w:val="18"/>
                <w:szCs w:val="18"/>
              </w:rPr>
              <w:t>32,507,380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AA754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AA7547">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812C14" w:rsidRDefault="00812C14">
      <w:pPr>
        <w:rPr>
          <w:rFonts w:ascii="Arial" w:eastAsia="Calibri" w:hAnsi="Arial" w:cs="Arial"/>
          <w:spacing w:val="-1"/>
          <w:sz w:val="17"/>
          <w:szCs w:val="17"/>
        </w:rPr>
      </w:pPr>
      <w:r>
        <w:rPr>
          <w:rFonts w:ascii="Arial" w:eastAsia="Calibri" w:hAnsi="Arial" w:cs="Arial"/>
          <w:spacing w:val="-1"/>
          <w:sz w:val="17"/>
          <w:szCs w:val="17"/>
        </w:rPr>
        <w:br w:type="page"/>
      </w:r>
    </w:p>
    <w:p w:rsidR="001F326D"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A23B8F" w:rsidRDefault="00A23B8F" w:rsidP="00A23B8F">
      <w:pPr>
        <w:autoSpaceDE w:val="0"/>
        <w:autoSpaceDN w:val="0"/>
        <w:adjustRightInd w:val="0"/>
        <w:spacing w:before="240" w:after="120"/>
        <w:jc w:val="center"/>
        <w:rPr>
          <w:rFonts w:ascii="Arial" w:hAnsi="Arial" w:cs="Arial"/>
          <w:b/>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1.- Introducción</w:t>
      </w:r>
    </w:p>
    <w:p w:rsidR="00A23B8F" w:rsidRPr="00A23B8F" w:rsidRDefault="00A23B8F" w:rsidP="00A23B8F">
      <w:pPr>
        <w:spacing w:line="360" w:lineRule="auto"/>
        <w:jc w:val="both"/>
        <w:rPr>
          <w:rFonts w:ascii="Arial" w:hAnsi="Arial" w:cs="Arial"/>
          <w:sz w:val="17"/>
          <w:szCs w:val="17"/>
        </w:rPr>
      </w:pPr>
      <w:r w:rsidRPr="00A23B8F">
        <w:rPr>
          <w:rFonts w:ascii="Arial" w:hAnsi="Arial" w:cs="Arial"/>
          <w:sz w:val="17"/>
          <w:szCs w:val="17"/>
        </w:rPr>
        <w:t>El objetivo del presente documento es la revelación del contexto y de los aspectos económicos –financieros más relevantes que influyeron en la toma de decisiones del periodo, y que fueron considerados en la elaboración de los estados financieros para la mayor comprensión de los mismos y sus particularidades.</w:t>
      </w:r>
    </w:p>
    <w:p w:rsidR="00A23B8F" w:rsidRPr="00A23B8F" w:rsidRDefault="00A23B8F" w:rsidP="00A23B8F">
      <w:pPr>
        <w:spacing w:line="360" w:lineRule="auto"/>
        <w:jc w:val="both"/>
        <w:rPr>
          <w:rFonts w:ascii="Arial" w:hAnsi="Arial" w:cs="Arial"/>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2.- Panorama Económico y Financiero</w:t>
      </w:r>
    </w:p>
    <w:p w:rsidR="00A23B8F" w:rsidRPr="00A23B8F" w:rsidRDefault="00A23B8F" w:rsidP="00A23B8F">
      <w:pPr>
        <w:spacing w:line="360" w:lineRule="auto"/>
        <w:jc w:val="both"/>
        <w:rPr>
          <w:rFonts w:ascii="Arial" w:hAnsi="Arial" w:cs="Arial"/>
          <w:sz w:val="17"/>
          <w:szCs w:val="17"/>
        </w:rPr>
      </w:pPr>
      <w:r w:rsidRPr="00A23B8F">
        <w:rPr>
          <w:rFonts w:ascii="Arial" w:hAnsi="Arial" w:cs="Arial"/>
          <w:sz w:val="17"/>
          <w:szCs w:val="17"/>
        </w:rPr>
        <w:t xml:space="preserve">En el entorno local y de conformidad con el Decreto de Presupuesto de Egresos del Estado de Querétaro para el ejercicio fiscal 2017, las principales condiciones económicas, financieras y hacendarias proyectadas para el ejercicio 2017, consideraron como expectativas económicas un crecimiento del Producto Interno Bruto de entre </w:t>
      </w:r>
      <w:r w:rsidRPr="00A23B8F">
        <w:rPr>
          <w:rFonts w:ascii="Arial" w:hAnsi="Arial" w:cs="Arial"/>
          <w:b/>
          <w:sz w:val="17"/>
          <w:szCs w:val="17"/>
        </w:rPr>
        <w:t>2.</w:t>
      </w:r>
      <w:r w:rsidRPr="00A23B8F">
        <w:rPr>
          <w:rFonts w:ascii="Arial" w:hAnsi="Arial" w:cs="Arial"/>
          <w:b/>
          <w:sz w:val="17"/>
          <w:szCs w:val="17"/>
        </w:rPr>
        <w:t>6 y 3.6 % y de la inflación en 5.25</w:t>
      </w:r>
      <w:r w:rsidRPr="00A23B8F">
        <w:rPr>
          <w:rFonts w:ascii="Arial" w:hAnsi="Arial" w:cs="Arial"/>
          <w:b/>
          <w:sz w:val="17"/>
          <w:szCs w:val="17"/>
        </w:rPr>
        <w:t xml:space="preserve"> %, </w:t>
      </w:r>
      <w:r w:rsidRPr="00A23B8F">
        <w:rPr>
          <w:rFonts w:ascii="Arial" w:hAnsi="Arial" w:cs="Arial"/>
          <w:sz w:val="17"/>
          <w:szCs w:val="17"/>
        </w:rPr>
        <w:t xml:space="preserve">sin embrago la inflación anual al cierre del ejercicio supero el margen establecido y ascendió </w:t>
      </w:r>
      <w:r w:rsidRPr="00A23B8F">
        <w:rPr>
          <w:rFonts w:ascii="Arial" w:hAnsi="Arial" w:cs="Arial"/>
          <w:b/>
          <w:sz w:val="17"/>
          <w:szCs w:val="17"/>
        </w:rPr>
        <w:t>a 3.36%,</w:t>
      </w:r>
      <w:r w:rsidRPr="00A23B8F">
        <w:rPr>
          <w:rFonts w:ascii="Arial" w:hAnsi="Arial" w:cs="Arial"/>
          <w:sz w:val="17"/>
          <w:szCs w:val="17"/>
        </w:rPr>
        <w:t xml:space="preserve"> según datos de INEGI.</w:t>
      </w:r>
    </w:p>
    <w:p w:rsidR="00A23B8F" w:rsidRPr="00A23B8F" w:rsidRDefault="00A23B8F" w:rsidP="00A23B8F">
      <w:pPr>
        <w:spacing w:line="360" w:lineRule="auto"/>
        <w:jc w:val="both"/>
        <w:rPr>
          <w:rFonts w:ascii="Arial" w:hAnsi="Arial" w:cs="Arial"/>
          <w:sz w:val="17"/>
          <w:szCs w:val="17"/>
        </w:rPr>
      </w:pPr>
      <w:r w:rsidRPr="00A23B8F">
        <w:rPr>
          <w:rFonts w:ascii="Arial" w:hAnsi="Arial" w:cs="Arial"/>
          <w:sz w:val="17"/>
          <w:szCs w:val="17"/>
        </w:rPr>
        <w:t>EL Tribunal de Justicia Administrativa del Estado de Querétaro, se ha conducido durante el periodo que se informa, bajo las mismas variables económicas y financieras con las que opera el Gobierno del Estado de Querétaro.</w:t>
      </w:r>
    </w:p>
    <w:p w:rsidR="00A23B8F" w:rsidRPr="00A23B8F" w:rsidRDefault="00A23B8F" w:rsidP="00A23B8F">
      <w:pPr>
        <w:spacing w:line="360" w:lineRule="auto"/>
        <w:jc w:val="both"/>
        <w:rPr>
          <w:rFonts w:ascii="Arial" w:hAnsi="Arial" w:cs="Arial"/>
          <w:sz w:val="17"/>
          <w:szCs w:val="17"/>
        </w:rPr>
      </w:pPr>
      <w:r w:rsidRPr="00A23B8F">
        <w:rPr>
          <w:rFonts w:ascii="Arial" w:hAnsi="Arial" w:cs="Arial"/>
          <w:sz w:val="17"/>
          <w:szCs w:val="17"/>
        </w:rPr>
        <w:t xml:space="preserve">Asimismo, por el periodo que se reporta el </w:t>
      </w:r>
      <w:r w:rsidRPr="00A23B8F">
        <w:rPr>
          <w:rFonts w:ascii="Arial" w:hAnsi="Arial" w:cs="Arial"/>
          <w:b/>
          <w:sz w:val="17"/>
          <w:szCs w:val="17"/>
        </w:rPr>
        <w:t xml:space="preserve">Tribunal </w:t>
      </w:r>
      <w:r w:rsidRPr="00A23B8F">
        <w:rPr>
          <w:rFonts w:ascii="Arial" w:hAnsi="Arial" w:cs="Arial"/>
          <w:sz w:val="17"/>
          <w:szCs w:val="17"/>
        </w:rPr>
        <w:t>financió su operación principalmente por los ingresos presupuestados aportados por el Gobierno Estatal.</w:t>
      </w:r>
    </w:p>
    <w:p w:rsidR="00A23B8F" w:rsidRPr="00A23B8F" w:rsidRDefault="00A23B8F" w:rsidP="00A23B8F">
      <w:pPr>
        <w:spacing w:line="360" w:lineRule="auto"/>
        <w:jc w:val="both"/>
        <w:rPr>
          <w:rFonts w:ascii="Arial" w:hAnsi="Arial" w:cs="Arial"/>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3.- Autorización e Historia</w:t>
      </w:r>
    </w:p>
    <w:p w:rsidR="00A23B8F" w:rsidRPr="00A23B8F" w:rsidRDefault="00A23B8F" w:rsidP="00A23B8F">
      <w:pPr>
        <w:pStyle w:val="Textoindependiente"/>
        <w:spacing w:line="360" w:lineRule="auto"/>
        <w:rPr>
          <w:rFonts w:cs="Arial"/>
          <w:sz w:val="17"/>
          <w:szCs w:val="17"/>
        </w:rPr>
      </w:pPr>
      <w:r w:rsidRPr="00A23B8F">
        <w:rPr>
          <w:rFonts w:cs="Arial"/>
          <w:sz w:val="17"/>
          <w:szCs w:val="17"/>
        </w:rPr>
        <w:t>El actual Tribunal de Justicia Administrativa del Estado de Querétaro, tuvo su origen en el extinto Tribunal de lo Contencioso Administrativo de</w:t>
      </w:r>
      <w:r>
        <w:rPr>
          <w:rFonts w:cs="Arial"/>
          <w:sz w:val="17"/>
          <w:szCs w:val="17"/>
        </w:rPr>
        <w:t xml:space="preserve">l Estado de Querétaro, cuya Ley </w:t>
      </w:r>
      <w:r w:rsidRPr="00A23B8F">
        <w:rPr>
          <w:rFonts w:cs="Arial"/>
          <w:sz w:val="17"/>
          <w:szCs w:val="17"/>
        </w:rPr>
        <w:t>Orgánica se publicó el 29 de septiembre de 2003 en el Diario Oficial del Estado “La Sombra de Arteaga”.</w:t>
      </w:r>
    </w:p>
    <w:p w:rsidR="00A23B8F" w:rsidRPr="00A23B8F" w:rsidRDefault="00A23B8F" w:rsidP="00A23B8F">
      <w:pPr>
        <w:pStyle w:val="Textoindependiente"/>
        <w:spacing w:line="360" w:lineRule="auto"/>
        <w:rPr>
          <w:rFonts w:cs="Arial"/>
          <w:sz w:val="17"/>
          <w:szCs w:val="17"/>
        </w:rPr>
      </w:pPr>
      <w:r w:rsidRPr="00A23B8F">
        <w:rPr>
          <w:rFonts w:cs="Arial"/>
          <w:sz w:val="17"/>
          <w:szCs w:val="17"/>
        </w:rPr>
        <w:t>Posteriormente la LVIII Legislatura del Estado, realizó modificación al artículo 34 Apartado A Constitucional, publicándose en fecha 21 de diciembre de 2016, en la cual se reforma y adiciona diversas disposiciones de la Constitución Política del Estado de Querétaro, creándose el Tribunal de Justicia Administrativa del Estado de Querétaro, así como la publicación de la Ley Orgánica del Tribunal de Justicia Administrativa, en fecha 18 abril de 2017 ambas en el periódico oficial de Gobierno del Estado “La Sombra de Arteaga”.</w:t>
      </w:r>
    </w:p>
    <w:p w:rsidR="00A23B8F" w:rsidRPr="00A23B8F" w:rsidRDefault="00A23B8F" w:rsidP="00A23B8F">
      <w:pPr>
        <w:pStyle w:val="Textoindependiente"/>
        <w:spacing w:line="360" w:lineRule="auto"/>
        <w:rPr>
          <w:rFonts w:cs="Arial"/>
          <w:sz w:val="17"/>
          <w:szCs w:val="17"/>
        </w:rPr>
      </w:pPr>
      <w:r w:rsidRPr="00A23B8F">
        <w:rPr>
          <w:rFonts w:cs="Arial"/>
          <w:sz w:val="17"/>
          <w:szCs w:val="17"/>
        </w:rPr>
        <w:t xml:space="preserve">En la actualidad y derivado de la reforma a la Constitución Política del Estado de Querétaro, el Tribunal de Justicia Administrativa está dotado de plena autonomía, siendo independiente de cualquier autoridad administrativa. </w:t>
      </w:r>
    </w:p>
    <w:p w:rsidR="00A23B8F" w:rsidRPr="00A23B8F" w:rsidRDefault="00A23B8F" w:rsidP="00A23B8F">
      <w:pPr>
        <w:spacing w:line="360" w:lineRule="auto"/>
        <w:jc w:val="both"/>
        <w:rPr>
          <w:rFonts w:ascii="Arial" w:hAnsi="Arial" w:cs="Arial"/>
          <w:b/>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4.- Organización y Objeto Social</w:t>
      </w: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Objeto Social:</w:t>
      </w:r>
    </w:p>
    <w:p w:rsidR="00A23B8F" w:rsidRPr="00A23B8F" w:rsidRDefault="00A23B8F" w:rsidP="00A23B8F">
      <w:pPr>
        <w:pStyle w:val="Textoindependiente"/>
        <w:spacing w:line="360" w:lineRule="auto"/>
        <w:rPr>
          <w:rFonts w:cs="Arial"/>
          <w:sz w:val="17"/>
          <w:szCs w:val="17"/>
        </w:rPr>
      </w:pPr>
      <w:r w:rsidRPr="00A23B8F">
        <w:rPr>
          <w:rFonts w:cs="Arial"/>
          <w:sz w:val="17"/>
          <w:szCs w:val="17"/>
        </w:rPr>
        <w:t xml:space="preserve">De conformidad con el artículo 1 de la Ley de Procedimiento Contencioso Administrativo del Estado de Querétaro, el Tribunal tiene por objeto regular la impartición de justicia fiscal y administrativa en el Estado de Querétaro, dando cumplimiento al artículo 116 fracción V de la Constitución Política de los Estados Unidos Mexicanos y artículo 34 Apartado A de la Constitución Política del Estado de Querétaro.   </w:t>
      </w:r>
    </w:p>
    <w:p w:rsidR="00A23B8F" w:rsidRPr="00A23B8F" w:rsidRDefault="00A23B8F" w:rsidP="00A23B8F">
      <w:pPr>
        <w:pStyle w:val="Textoindependiente"/>
        <w:spacing w:line="360" w:lineRule="auto"/>
        <w:rPr>
          <w:rFonts w:cs="Arial"/>
          <w:sz w:val="17"/>
          <w:szCs w:val="17"/>
        </w:rPr>
      </w:pPr>
    </w:p>
    <w:p w:rsidR="00A23B8F" w:rsidRPr="00A23B8F" w:rsidRDefault="00A23B8F" w:rsidP="00A23B8F">
      <w:pPr>
        <w:spacing w:line="360" w:lineRule="auto"/>
        <w:jc w:val="both"/>
        <w:rPr>
          <w:rFonts w:ascii="Arial" w:hAnsi="Arial" w:cs="Arial"/>
          <w:sz w:val="17"/>
          <w:szCs w:val="17"/>
        </w:rPr>
      </w:pPr>
      <w:r w:rsidRPr="00A23B8F">
        <w:rPr>
          <w:rFonts w:ascii="Arial" w:hAnsi="Arial" w:cs="Arial"/>
          <w:b/>
          <w:sz w:val="17"/>
          <w:szCs w:val="17"/>
        </w:rPr>
        <w:t xml:space="preserve">Principal Actividad: </w:t>
      </w:r>
      <w:r w:rsidRPr="00A23B8F">
        <w:rPr>
          <w:rFonts w:ascii="Arial" w:hAnsi="Arial" w:cs="Arial"/>
          <w:sz w:val="17"/>
          <w:szCs w:val="17"/>
        </w:rPr>
        <w:t>Impartición de Justicia en Materia Administrativa</w:t>
      </w:r>
    </w:p>
    <w:p w:rsidR="00A23B8F" w:rsidRPr="00A23B8F" w:rsidRDefault="00A23B8F" w:rsidP="00A23B8F">
      <w:pPr>
        <w:spacing w:line="360" w:lineRule="auto"/>
        <w:jc w:val="both"/>
        <w:rPr>
          <w:rFonts w:ascii="Arial" w:hAnsi="Arial" w:cs="Arial"/>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Ejercicio Fiscal:</w:t>
      </w:r>
    </w:p>
    <w:p w:rsidR="00A23B8F" w:rsidRPr="00A23B8F" w:rsidRDefault="00A23B8F" w:rsidP="00A23B8F">
      <w:pPr>
        <w:spacing w:line="360" w:lineRule="auto"/>
        <w:jc w:val="both"/>
        <w:rPr>
          <w:rFonts w:ascii="Arial" w:hAnsi="Arial" w:cs="Arial"/>
          <w:b/>
          <w:sz w:val="17"/>
          <w:szCs w:val="17"/>
        </w:rPr>
      </w:pPr>
      <w:r w:rsidRPr="00A23B8F">
        <w:rPr>
          <w:rFonts w:ascii="Arial" w:hAnsi="Arial" w:cs="Arial"/>
          <w:sz w:val="17"/>
          <w:szCs w:val="17"/>
        </w:rPr>
        <w:t xml:space="preserve">El ejercicio fiscal que comprende del 1° de enero al 31 de diciembre de 2017, se considera un ejercicio normal y regular en las operaciones y transacciones financieras del </w:t>
      </w:r>
      <w:r w:rsidRPr="00A23B8F">
        <w:rPr>
          <w:rFonts w:ascii="Arial" w:hAnsi="Arial" w:cs="Arial"/>
          <w:b/>
          <w:sz w:val="17"/>
          <w:szCs w:val="17"/>
        </w:rPr>
        <w:t>Tribunal.</w:t>
      </w:r>
    </w:p>
    <w:p w:rsidR="00A23B8F" w:rsidRPr="00A23B8F" w:rsidRDefault="00A23B8F" w:rsidP="00A23B8F">
      <w:pPr>
        <w:spacing w:line="360" w:lineRule="auto"/>
        <w:jc w:val="both"/>
        <w:rPr>
          <w:rFonts w:ascii="Arial" w:hAnsi="Arial" w:cs="Arial"/>
          <w:sz w:val="17"/>
          <w:szCs w:val="17"/>
        </w:rPr>
      </w:pPr>
    </w:p>
    <w:p w:rsidR="00A23B8F" w:rsidRPr="00A23B8F" w:rsidRDefault="00A23B8F" w:rsidP="00A23B8F">
      <w:pPr>
        <w:spacing w:line="360" w:lineRule="auto"/>
        <w:jc w:val="both"/>
        <w:rPr>
          <w:rFonts w:ascii="Arial" w:hAnsi="Arial" w:cs="Arial"/>
          <w:sz w:val="17"/>
          <w:szCs w:val="17"/>
        </w:rPr>
      </w:pPr>
      <w:r w:rsidRPr="00A23B8F">
        <w:rPr>
          <w:rFonts w:ascii="Arial" w:hAnsi="Arial" w:cs="Arial"/>
          <w:b/>
          <w:sz w:val="17"/>
          <w:szCs w:val="17"/>
        </w:rPr>
        <w:t>Régimen Jurídico:</w:t>
      </w:r>
      <w:r w:rsidRPr="00A23B8F">
        <w:rPr>
          <w:rFonts w:ascii="Arial" w:hAnsi="Arial" w:cs="Arial"/>
          <w:sz w:val="17"/>
          <w:szCs w:val="17"/>
        </w:rPr>
        <w:t xml:space="preserve"> de conformidad con el artículo 116 fracción V Constitución Política de los estados unidos Mexicanos, artículo 34 apartado A de la Constitución Política del Estado de Querétaro, El Tribunal de Justicia Administrativa del Estado de Querétaro estará dotado de plena autonomía, será independiente de cualquier autoridad administrativa y tendrá su residencia en la ciudad de Santiago de Querétaro </w:t>
      </w:r>
      <w:proofErr w:type="spellStart"/>
      <w:r w:rsidRPr="00A23B8F">
        <w:rPr>
          <w:rFonts w:ascii="Arial" w:hAnsi="Arial" w:cs="Arial"/>
          <w:sz w:val="17"/>
          <w:szCs w:val="17"/>
        </w:rPr>
        <w:t>Qro</w:t>
      </w:r>
      <w:proofErr w:type="spellEnd"/>
      <w:r w:rsidRPr="00A23B8F">
        <w:rPr>
          <w:rFonts w:ascii="Arial" w:hAnsi="Arial" w:cs="Arial"/>
          <w:sz w:val="17"/>
          <w:szCs w:val="17"/>
        </w:rPr>
        <w:t>. La Ley establecerá su organización, funcionamiento, procedimientos y, en su caso, los recursos contra sus relaciones, articulo 2 Ley Orgánica del Tribunal de Justicia Administrativa del Estado de Querétaro.</w:t>
      </w:r>
    </w:p>
    <w:p w:rsidR="00A23B8F" w:rsidRPr="00A23B8F" w:rsidRDefault="00A23B8F" w:rsidP="00A23B8F">
      <w:pPr>
        <w:spacing w:line="360" w:lineRule="auto"/>
        <w:jc w:val="both"/>
        <w:rPr>
          <w:rFonts w:ascii="Arial" w:hAnsi="Arial" w:cs="Arial"/>
          <w:sz w:val="17"/>
          <w:szCs w:val="17"/>
        </w:rPr>
      </w:pPr>
    </w:p>
    <w:p w:rsidR="00A23B8F" w:rsidRPr="00A23B8F" w:rsidRDefault="00A23B8F" w:rsidP="00A23B8F">
      <w:pPr>
        <w:spacing w:line="360" w:lineRule="auto"/>
        <w:jc w:val="both"/>
        <w:rPr>
          <w:rFonts w:ascii="Arial" w:hAnsi="Arial" w:cs="Arial"/>
          <w:sz w:val="17"/>
          <w:szCs w:val="17"/>
        </w:rPr>
      </w:pPr>
      <w:r w:rsidRPr="00A23B8F">
        <w:rPr>
          <w:rFonts w:ascii="Arial" w:hAnsi="Arial" w:cs="Arial"/>
          <w:b/>
          <w:sz w:val="17"/>
          <w:szCs w:val="17"/>
        </w:rPr>
        <w:t>Consideraciones Fiscales:</w:t>
      </w:r>
      <w:r w:rsidRPr="00A23B8F">
        <w:rPr>
          <w:rFonts w:ascii="Arial" w:hAnsi="Arial" w:cs="Arial"/>
          <w:sz w:val="17"/>
          <w:szCs w:val="17"/>
        </w:rPr>
        <w:t xml:space="preserve">  Las principales obligaciones fiscales de la entidad son: la retención del Impuesto Sobre la Renta por el pago de salarios y en general por la prestación de un servicio personal subordinado, Asimilados a Salarios, Servicios Profesionales, Arrendamiento y en general por otorgar el uso o goce temporal de bienes inmuebles. En materia de Seguridad Social es la retención y entero de cuotas y aportaciones de seguridad social. En Impuestos Estatales, es el entero del Impuesto Sobre Nóminas.</w:t>
      </w:r>
    </w:p>
    <w:p w:rsidR="00A23B8F" w:rsidRPr="00A23B8F" w:rsidRDefault="00A23B8F" w:rsidP="00A23B8F">
      <w:pPr>
        <w:spacing w:line="360" w:lineRule="auto"/>
        <w:jc w:val="both"/>
        <w:rPr>
          <w:rFonts w:ascii="Arial" w:hAnsi="Arial" w:cs="Arial"/>
          <w:sz w:val="17"/>
          <w:szCs w:val="17"/>
        </w:rPr>
      </w:pPr>
    </w:p>
    <w:p w:rsidR="00A23B8F" w:rsidRPr="00A23B8F" w:rsidRDefault="00A23B8F" w:rsidP="00A23B8F">
      <w:pPr>
        <w:spacing w:line="360" w:lineRule="auto"/>
        <w:jc w:val="both"/>
        <w:rPr>
          <w:rFonts w:ascii="Arial" w:hAnsi="Arial" w:cs="Arial"/>
          <w:sz w:val="17"/>
          <w:szCs w:val="17"/>
        </w:rPr>
      </w:pPr>
      <w:r w:rsidRPr="00A23B8F">
        <w:rPr>
          <w:rFonts w:ascii="Arial" w:hAnsi="Arial" w:cs="Arial"/>
          <w:b/>
          <w:sz w:val="17"/>
          <w:szCs w:val="17"/>
        </w:rPr>
        <w:t xml:space="preserve">Estructura Organizacional Básica: </w:t>
      </w:r>
      <w:r w:rsidRPr="00A23B8F">
        <w:rPr>
          <w:rFonts w:ascii="Arial" w:hAnsi="Arial" w:cs="Arial"/>
          <w:sz w:val="17"/>
          <w:szCs w:val="17"/>
        </w:rPr>
        <w:t>de conformidad con el artículo 6 fracciones I, II, III de la Ley Orgánica del Tribunal de Justicia Administrativa del Estado de Querétaro y articulo 29</w:t>
      </w:r>
    </w:p>
    <w:p w:rsidR="00A23B8F" w:rsidRPr="00A23B8F" w:rsidRDefault="00A23B8F" w:rsidP="00A23B8F">
      <w:pPr>
        <w:pStyle w:val="Prrafodelista"/>
        <w:numPr>
          <w:ilvl w:val="0"/>
          <w:numId w:val="45"/>
        </w:numPr>
        <w:spacing w:after="160" w:line="360" w:lineRule="auto"/>
        <w:jc w:val="both"/>
        <w:rPr>
          <w:rFonts w:ascii="Arial" w:hAnsi="Arial" w:cs="Arial"/>
          <w:sz w:val="17"/>
          <w:szCs w:val="17"/>
        </w:rPr>
      </w:pPr>
      <w:r w:rsidRPr="00A23B8F">
        <w:rPr>
          <w:rFonts w:ascii="Arial" w:hAnsi="Arial" w:cs="Arial"/>
          <w:sz w:val="17"/>
          <w:szCs w:val="17"/>
        </w:rPr>
        <w:t>La Sala Superior</w:t>
      </w:r>
    </w:p>
    <w:p w:rsidR="00A23B8F" w:rsidRPr="00A23B8F" w:rsidRDefault="00A23B8F" w:rsidP="00A23B8F">
      <w:pPr>
        <w:pStyle w:val="Prrafodelista"/>
        <w:numPr>
          <w:ilvl w:val="0"/>
          <w:numId w:val="45"/>
        </w:numPr>
        <w:spacing w:after="160" w:line="360" w:lineRule="auto"/>
        <w:jc w:val="both"/>
        <w:rPr>
          <w:rFonts w:ascii="Arial" w:hAnsi="Arial" w:cs="Arial"/>
          <w:sz w:val="17"/>
          <w:szCs w:val="17"/>
        </w:rPr>
      </w:pPr>
      <w:r w:rsidRPr="00A23B8F">
        <w:rPr>
          <w:rFonts w:ascii="Arial" w:hAnsi="Arial" w:cs="Arial"/>
          <w:sz w:val="17"/>
          <w:szCs w:val="17"/>
        </w:rPr>
        <w:t xml:space="preserve">Los Juzgados Administrativos ; y </w:t>
      </w:r>
    </w:p>
    <w:p w:rsidR="00A23B8F" w:rsidRPr="00A23B8F" w:rsidRDefault="00A23B8F" w:rsidP="00A23B8F">
      <w:pPr>
        <w:pStyle w:val="Prrafodelista"/>
        <w:numPr>
          <w:ilvl w:val="0"/>
          <w:numId w:val="45"/>
        </w:numPr>
        <w:spacing w:after="160" w:line="360" w:lineRule="auto"/>
        <w:jc w:val="both"/>
        <w:rPr>
          <w:rFonts w:ascii="Arial" w:hAnsi="Arial" w:cs="Arial"/>
          <w:sz w:val="17"/>
          <w:szCs w:val="17"/>
        </w:rPr>
      </w:pPr>
      <w:r w:rsidRPr="00A23B8F">
        <w:rPr>
          <w:rFonts w:ascii="Arial" w:hAnsi="Arial" w:cs="Arial"/>
          <w:sz w:val="17"/>
          <w:szCs w:val="17"/>
        </w:rPr>
        <w:t>La sala Especializada</w:t>
      </w:r>
    </w:p>
    <w:p w:rsidR="00A23B8F" w:rsidRPr="00A23B8F" w:rsidRDefault="00A23B8F" w:rsidP="00A23B8F">
      <w:pPr>
        <w:pStyle w:val="Prrafodelista"/>
        <w:numPr>
          <w:ilvl w:val="0"/>
          <w:numId w:val="45"/>
        </w:numPr>
        <w:spacing w:after="160" w:line="360" w:lineRule="auto"/>
        <w:jc w:val="both"/>
        <w:rPr>
          <w:rFonts w:ascii="Arial" w:hAnsi="Arial" w:cs="Arial"/>
          <w:sz w:val="17"/>
          <w:szCs w:val="17"/>
        </w:rPr>
      </w:pPr>
      <w:r w:rsidRPr="00A23B8F">
        <w:rPr>
          <w:rFonts w:ascii="Arial" w:hAnsi="Arial" w:cs="Arial"/>
          <w:sz w:val="17"/>
          <w:szCs w:val="17"/>
        </w:rPr>
        <w:t>Unidades Administrativas</w:t>
      </w:r>
    </w:p>
    <w:p w:rsidR="00A23B8F" w:rsidRPr="00A23B8F" w:rsidRDefault="00A23B8F" w:rsidP="00A23B8F">
      <w:pPr>
        <w:pStyle w:val="Prrafodelista"/>
        <w:numPr>
          <w:ilvl w:val="0"/>
          <w:numId w:val="46"/>
        </w:numPr>
        <w:spacing w:after="160" w:line="360" w:lineRule="auto"/>
        <w:jc w:val="both"/>
        <w:rPr>
          <w:rFonts w:ascii="Arial" w:hAnsi="Arial" w:cs="Arial"/>
          <w:sz w:val="17"/>
          <w:szCs w:val="17"/>
        </w:rPr>
      </w:pPr>
      <w:r w:rsidRPr="00A23B8F">
        <w:rPr>
          <w:rFonts w:ascii="Arial" w:hAnsi="Arial" w:cs="Arial"/>
          <w:sz w:val="17"/>
          <w:szCs w:val="17"/>
        </w:rPr>
        <w:t>Oficialía Mayor</w:t>
      </w:r>
    </w:p>
    <w:p w:rsidR="00A23B8F" w:rsidRPr="00A23B8F" w:rsidRDefault="00A23B8F" w:rsidP="00A23B8F">
      <w:pPr>
        <w:pStyle w:val="Prrafodelista"/>
        <w:numPr>
          <w:ilvl w:val="0"/>
          <w:numId w:val="46"/>
        </w:numPr>
        <w:spacing w:after="160" w:line="360" w:lineRule="auto"/>
        <w:jc w:val="both"/>
        <w:rPr>
          <w:rFonts w:ascii="Arial" w:hAnsi="Arial" w:cs="Arial"/>
          <w:sz w:val="17"/>
          <w:szCs w:val="17"/>
        </w:rPr>
      </w:pPr>
      <w:r w:rsidRPr="00A23B8F">
        <w:rPr>
          <w:rFonts w:ascii="Arial" w:hAnsi="Arial" w:cs="Arial"/>
          <w:sz w:val="17"/>
          <w:szCs w:val="17"/>
        </w:rPr>
        <w:t>Defensoría de Oficio</w:t>
      </w:r>
    </w:p>
    <w:p w:rsidR="00A23B8F" w:rsidRPr="00A23B8F" w:rsidRDefault="00A23B8F" w:rsidP="00A23B8F">
      <w:pPr>
        <w:pStyle w:val="Prrafodelista"/>
        <w:numPr>
          <w:ilvl w:val="0"/>
          <w:numId w:val="46"/>
        </w:numPr>
        <w:spacing w:after="160" w:line="360" w:lineRule="auto"/>
        <w:jc w:val="both"/>
        <w:rPr>
          <w:rFonts w:ascii="Arial" w:hAnsi="Arial" w:cs="Arial"/>
          <w:sz w:val="17"/>
          <w:szCs w:val="17"/>
        </w:rPr>
      </w:pPr>
      <w:r w:rsidRPr="00A23B8F">
        <w:rPr>
          <w:rFonts w:ascii="Arial" w:hAnsi="Arial" w:cs="Arial"/>
          <w:sz w:val="17"/>
          <w:szCs w:val="17"/>
        </w:rPr>
        <w:t>Órgano Interno de Control</w:t>
      </w:r>
    </w:p>
    <w:p w:rsidR="00A23B8F" w:rsidRPr="00A23B8F" w:rsidRDefault="00A23B8F" w:rsidP="00A23B8F">
      <w:pPr>
        <w:spacing w:line="360" w:lineRule="auto"/>
        <w:jc w:val="both"/>
        <w:rPr>
          <w:rFonts w:ascii="Arial" w:hAnsi="Arial" w:cs="Arial"/>
          <w:sz w:val="17"/>
          <w:szCs w:val="17"/>
        </w:rPr>
      </w:pPr>
    </w:p>
    <w:p w:rsidR="00A23B8F" w:rsidRPr="00A23B8F" w:rsidRDefault="00A23B8F" w:rsidP="00A23B8F">
      <w:pPr>
        <w:spacing w:line="360" w:lineRule="auto"/>
        <w:jc w:val="both"/>
        <w:rPr>
          <w:rFonts w:ascii="Arial" w:hAnsi="Arial" w:cs="Arial"/>
          <w:sz w:val="17"/>
          <w:szCs w:val="17"/>
        </w:rPr>
      </w:pPr>
      <w:r w:rsidRPr="00A23B8F">
        <w:rPr>
          <w:rFonts w:ascii="Arial" w:hAnsi="Arial" w:cs="Arial"/>
          <w:sz w:val="17"/>
          <w:szCs w:val="17"/>
        </w:rPr>
        <w:t>La Oficialía Mayor</w:t>
      </w:r>
      <w:r w:rsidRPr="00A23B8F">
        <w:rPr>
          <w:rFonts w:ascii="Arial" w:hAnsi="Arial" w:cs="Arial"/>
          <w:b/>
          <w:sz w:val="17"/>
          <w:szCs w:val="17"/>
        </w:rPr>
        <w:t xml:space="preserve"> </w:t>
      </w:r>
      <w:r w:rsidRPr="00A23B8F">
        <w:rPr>
          <w:rFonts w:ascii="Arial" w:hAnsi="Arial" w:cs="Arial"/>
          <w:sz w:val="17"/>
          <w:szCs w:val="17"/>
        </w:rPr>
        <w:t>podrá contar, además, con las unidades administrativas necesarias que requiera para el mejor desempeño de sus atribuciones y funcionamiento del Tribunal.</w:t>
      </w:r>
    </w:p>
    <w:p w:rsidR="00A23B8F" w:rsidRPr="00A23B8F" w:rsidRDefault="00A23B8F" w:rsidP="00A23B8F">
      <w:pPr>
        <w:spacing w:line="360" w:lineRule="auto"/>
        <w:jc w:val="both"/>
        <w:rPr>
          <w:rFonts w:ascii="Arial" w:hAnsi="Arial" w:cs="Arial"/>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Fideicomisos, mandatos y análogos:</w:t>
      </w:r>
    </w:p>
    <w:p w:rsidR="00A23B8F" w:rsidRDefault="00A23B8F" w:rsidP="00A23B8F">
      <w:pPr>
        <w:spacing w:line="360" w:lineRule="auto"/>
        <w:jc w:val="both"/>
        <w:rPr>
          <w:rFonts w:ascii="Arial" w:hAnsi="Arial" w:cs="Arial"/>
          <w:sz w:val="17"/>
          <w:szCs w:val="17"/>
        </w:rPr>
      </w:pPr>
      <w:r w:rsidRPr="00A23B8F">
        <w:rPr>
          <w:rFonts w:ascii="Arial" w:hAnsi="Arial" w:cs="Arial"/>
          <w:sz w:val="17"/>
          <w:szCs w:val="17"/>
        </w:rPr>
        <w:t>El Tribunal de Justicia Administrativa del Estado de Querétaro, no es fideicomitente o fideicomisario de algún fideicomiso o mandato análogo.</w:t>
      </w:r>
    </w:p>
    <w:p w:rsidR="00A23B8F" w:rsidRDefault="00A23B8F" w:rsidP="00A23B8F">
      <w:pPr>
        <w:spacing w:line="360" w:lineRule="auto"/>
        <w:jc w:val="both"/>
        <w:rPr>
          <w:rFonts w:ascii="Arial" w:hAnsi="Arial" w:cs="Arial"/>
          <w:sz w:val="17"/>
          <w:szCs w:val="17"/>
        </w:rPr>
      </w:pPr>
    </w:p>
    <w:p w:rsidR="00A23B8F" w:rsidRPr="00A23B8F" w:rsidRDefault="00A23B8F" w:rsidP="00A23B8F">
      <w:pPr>
        <w:spacing w:line="360" w:lineRule="auto"/>
        <w:jc w:val="both"/>
        <w:rPr>
          <w:rFonts w:ascii="Arial" w:hAnsi="Arial" w:cs="Arial"/>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5.- Bases de Preparación de los estados financieros</w:t>
      </w:r>
    </w:p>
    <w:p w:rsidR="00A23B8F" w:rsidRPr="00A23B8F" w:rsidRDefault="00A23B8F" w:rsidP="00A23B8F">
      <w:pPr>
        <w:spacing w:line="360" w:lineRule="auto"/>
        <w:jc w:val="both"/>
        <w:rPr>
          <w:rFonts w:ascii="Arial" w:hAnsi="Arial" w:cs="Arial"/>
          <w:sz w:val="17"/>
          <w:szCs w:val="17"/>
        </w:rPr>
      </w:pPr>
      <w:r w:rsidRPr="00A23B8F">
        <w:rPr>
          <w:rFonts w:ascii="Arial" w:hAnsi="Arial" w:cs="Arial"/>
          <w:sz w:val="17"/>
          <w:szCs w:val="17"/>
        </w:rPr>
        <w:t>a) La emisión de los estados se efectuó con base en los postulados de Contabilidad Gubernamental, los catálogos y clasificadores presupuestarios armonizados, el Plan de Cuentas armonizado estatal y sobre la base de devengado.</w:t>
      </w:r>
    </w:p>
    <w:p w:rsidR="00A23B8F" w:rsidRPr="00A23B8F" w:rsidRDefault="00A23B8F" w:rsidP="00A23B8F">
      <w:pPr>
        <w:spacing w:line="360" w:lineRule="auto"/>
        <w:jc w:val="both"/>
        <w:rPr>
          <w:rFonts w:ascii="Arial" w:hAnsi="Arial" w:cs="Arial"/>
          <w:sz w:val="17"/>
          <w:szCs w:val="17"/>
        </w:rPr>
      </w:pPr>
      <w:r w:rsidRPr="00A23B8F">
        <w:rPr>
          <w:rFonts w:ascii="Arial" w:hAnsi="Arial" w:cs="Arial"/>
          <w:sz w:val="17"/>
          <w:szCs w:val="17"/>
        </w:rPr>
        <w:t>b) Postulados básicos.</w:t>
      </w:r>
    </w:p>
    <w:p w:rsidR="00A23B8F" w:rsidRPr="00A23B8F" w:rsidRDefault="00A23B8F" w:rsidP="00A23B8F">
      <w:pPr>
        <w:pStyle w:val="Prrafodelista"/>
        <w:numPr>
          <w:ilvl w:val="0"/>
          <w:numId w:val="47"/>
        </w:numPr>
        <w:spacing w:after="160" w:line="360" w:lineRule="auto"/>
        <w:jc w:val="both"/>
        <w:rPr>
          <w:rFonts w:ascii="Arial" w:hAnsi="Arial" w:cs="Arial"/>
          <w:sz w:val="17"/>
          <w:szCs w:val="17"/>
        </w:rPr>
      </w:pPr>
      <w:r w:rsidRPr="00A23B8F">
        <w:rPr>
          <w:rFonts w:ascii="Arial" w:hAnsi="Arial" w:cs="Arial"/>
          <w:sz w:val="17"/>
          <w:szCs w:val="17"/>
        </w:rPr>
        <w:t>Sustancia económica.</w:t>
      </w:r>
    </w:p>
    <w:p w:rsidR="00A23B8F" w:rsidRPr="00A23B8F" w:rsidRDefault="00A23B8F" w:rsidP="00A23B8F">
      <w:pPr>
        <w:pStyle w:val="Prrafodelista"/>
        <w:numPr>
          <w:ilvl w:val="0"/>
          <w:numId w:val="47"/>
        </w:numPr>
        <w:spacing w:after="160" w:line="360" w:lineRule="auto"/>
        <w:jc w:val="both"/>
        <w:rPr>
          <w:rFonts w:ascii="Arial" w:hAnsi="Arial" w:cs="Arial"/>
          <w:sz w:val="17"/>
          <w:szCs w:val="17"/>
        </w:rPr>
      </w:pPr>
      <w:r w:rsidRPr="00A23B8F">
        <w:rPr>
          <w:rFonts w:ascii="Arial" w:hAnsi="Arial" w:cs="Arial"/>
          <w:sz w:val="17"/>
          <w:szCs w:val="17"/>
        </w:rPr>
        <w:t>Entes públicos.</w:t>
      </w:r>
    </w:p>
    <w:p w:rsidR="00A23B8F" w:rsidRPr="00A23B8F" w:rsidRDefault="00A23B8F" w:rsidP="00A23B8F">
      <w:pPr>
        <w:pStyle w:val="Prrafodelista"/>
        <w:numPr>
          <w:ilvl w:val="0"/>
          <w:numId w:val="47"/>
        </w:numPr>
        <w:spacing w:after="160" w:line="360" w:lineRule="auto"/>
        <w:jc w:val="both"/>
        <w:rPr>
          <w:rFonts w:ascii="Arial" w:hAnsi="Arial" w:cs="Arial"/>
          <w:sz w:val="17"/>
          <w:szCs w:val="17"/>
        </w:rPr>
      </w:pPr>
      <w:r w:rsidRPr="00A23B8F">
        <w:rPr>
          <w:rFonts w:ascii="Arial" w:hAnsi="Arial" w:cs="Arial"/>
          <w:sz w:val="17"/>
          <w:szCs w:val="17"/>
        </w:rPr>
        <w:t>Existencia permanente.</w:t>
      </w:r>
    </w:p>
    <w:p w:rsidR="00A23B8F" w:rsidRPr="00A23B8F" w:rsidRDefault="00A23B8F" w:rsidP="00A23B8F">
      <w:pPr>
        <w:pStyle w:val="Prrafodelista"/>
        <w:numPr>
          <w:ilvl w:val="0"/>
          <w:numId w:val="47"/>
        </w:numPr>
        <w:spacing w:after="160" w:line="360" w:lineRule="auto"/>
        <w:jc w:val="both"/>
        <w:rPr>
          <w:rFonts w:ascii="Arial" w:hAnsi="Arial" w:cs="Arial"/>
          <w:sz w:val="17"/>
          <w:szCs w:val="17"/>
        </w:rPr>
      </w:pPr>
      <w:r w:rsidRPr="00A23B8F">
        <w:rPr>
          <w:rFonts w:ascii="Arial" w:hAnsi="Arial" w:cs="Arial"/>
          <w:sz w:val="17"/>
          <w:szCs w:val="17"/>
        </w:rPr>
        <w:t>Revelación suficiente.</w:t>
      </w:r>
    </w:p>
    <w:p w:rsidR="00A23B8F" w:rsidRPr="00A23B8F" w:rsidRDefault="00A23B8F" w:rsidP="00A23B8F">
      <w:pPr>
        <w:pStyle w:val="Prrafodelista"/>
        <w:numPr>
          <w:ilvl w:val="0"/>
          <w:numId w:val="47"/>
        </w:numPr>
        <w:spacing w:after="160" w:line="360" w:lineRule="auto"/>
        <w:jc w:val="both"/>
        <w:rPr>
          <w:rFonts w:ascii="Arial" w:hAnsi="Arial" w:cs="Arial"/>
          <w:sz w:val="17"/>
          <w:szCs w:val="17"/>
        </w:rPr>
      </w:pPr>
      <w:r w:rsidRPr="00A23B8F">
        <w:rPr>
          <w:rFonts w:ascii="Arial" w:hAnsi="Arial" w:cs="Arial"/>
          <w:sz w:val="17"/>
          <w:szCs w:val="17"/>
        </w:rPr>
        <w:t>Importancia relativa.</w:t>
      </w:r>
    </w:p>
    <w:p w:rsidR="00A23B8F" w:rsidRPr="00A23B8F" w:rsidRDefault="00A23B8F" w:rsidP="00A23B8F">
      <w:pPr>
        <w:pStyle w:val="Prrafodelista"/>
        <w:numPr>
          <w:ilvl w:val="0"/>
          <w:numId w:val="47"/>
        </w:numPr>
        <w:spacing w:after="160" w:line="360" w:lineRule="auto"/>
        <w:jc w:val="both"/>
        <w:rPr>
          <w:rFonts w:ascii="Arial" w:hAnsi="Arial" w:cs="Arial"/>
          <w:sz w:val="17"/>
          <w:szCs w:val="17"/>
        </w:rPr>
      </w:pPr>
      <w:r w:rsidRPr="00A23B8F">
        <w:rPr>
          <w:rFonts w:ascii="Arial" w:hAnsi="Arial" w:cs="Arial"/>
          <w:sz w:val="17"/>
          <w:szCs w:val="17"/>
        </w:rPr>
        <w:t>Registro e integración presupuestaria.</w:t>
      </w:r>
    </w:p>
    <w:p w:rsidR="00A23B8F" w:rsidRPr="00A23B8F" w:rsidRDefault="00A23B8F" w:rsidP="00A23B8F">
      <w:pPr>
        <w:pStyle w:val="Prrafodelista"/>
        <w:numPr>
          <w:ilvl w:val="0"/>
          <w:numId w:val="47"/>
        </w:numPr>
        <w:spacing w:after="160" w:line="360" w:lineRule="auto"/>
        <w:jc w:val="both"/>
        <w:rPr>
          <w:rFonts w:ascii="Arial" w:hAnsi="Arial" w:cs="Arial"/>
          <w:sz w:val="17"/>
          <w:szCs w:val="17"/>
        </w:rPr>
      </w:pPr>
      <w:r w:rsidRPr="00A23B8F">
        <w:rPr>
          <w:rFonts w:ascii="Arial" w:hAnsi="Arial" w:cs="Arial"/>
          <w:sz w:val="17"/>
          <w:szCs w:val="17"/>
        </w:rPr>
        <w:t>Consolidación de la información financiera.</w:t>
      </w:r>
    </w:p>
    <w:p w:rsidR="00A23B8F" w:rsidRPr="00A23B8F" w:rsidRDefault="00A23B8F" w:rsidP="00A23B8F">
      <w:pPr>
        <w:pStyle w:val="Prrafodelista"/>
        <w:numPr>
          <w:ilvl w:val="0"/>
          <w:numId w:val="47"/>
        </w:numPr>
        <w:spacing w:after="160" w:line="360" w:lineRule="auto"/>
        <w:jc w:val="both"/>
        <w:rPr>
          <w:rFonts w:ascii="Arial" w:hAnsi="Arial" w:cs="Arial"/>
          <w:sz w:val="17"/>
          <w:szCs w:val="17"/>
        </w:rPr>
      </w:pPr>
      <w:r w:rsidRPr="00A23B8F">
        <w:rPr>
          <w:rFonts w:ascii="Arial" w:hAnsi="Arial" w:cs="Arial"/>
          <w:sz w:val="17"/>
          <w:szCs w:val="17"/>
        </w:rPr>
        <w:t>Devengo contable.</w:t>
      </w:r>
    </w:p>
    <w:p w:rsidR="00A23B8F" w:rsidRPr="00A23B8F" w:rsidRDefault="00A23B8F" w:rsidP="00A23B8F">
      <w:pPr>
        <w:pStyle w:val="Prrafodelista"/>
        <w:numPr>
          <w:ilvl w:val="0"/>
          <w:numId w:val="47"/>
        </w:numPr>
        <w:spacing w:after="160" w:line="360" w:lineRule="auto"/>
        <w:jc w:val="both"/>
        <w:rPr>
          <w:rFonts w:ascii="Arial" w:hAnsi="Arial" w:cs="Arial"/>
          <w:sz w:val="17"/>
          <w:szCs w:val="17"/>
        </w:rPr>
      </w:pPr>
      <w:r w:rsidRPr="00A23B8F">
        <w:rPr>
          <w:rFonts w:ascii="Arial" w:hAnsi="Arial" w:cs="Arial"/>
          <w:sz w:val="17"/>
          <w:szCs w:val="17"/>
        </w:rPr>
        <w:t>Valuación.</w:t>
      </w:r>
    </w:p>
    <w:p w:rsidR="00A23B8F" w:rsidRPr="00A23B8F" w:rsidRDefault="00A23B8F" w:rsidP="00A23B8F">
      <w:pPr>
        <w:pStyle w:val="Prrafodelista"/>
        <w:numPr>
          <w:ilvl w:val="0"/>
          <w:numId w:val="47"/>
        </w:numPr>
        <w:spacing w:after="160" w:line="360" w:lineRule="auto"/>
        <w:jc w:val="both"/>
        <w:rPr>
          <w:rFonts w:ascii="Arial" w:hAnsi="Arial" w:cs="Arial"/>
          <w:sz w:val="17"/>
          <w:szCs w:val="17"/>
        </w:rPr>
      </w:pPr>
      <w:r w:rsidRPr="00A23B8F">
        <w:rPr>
          <w:rFonts w:ascii="Arial" w:hAnsi="Arial" w:cs="Arial"/>
          <w:sz w:val="17"/>
          <w:szCs w:val="17"/>
        </w:rPr>
        <w:t>Dualidad económica.</w:t>
      </w:r>
    </w:p>
    <w:p w:rsidR="00A23B8F" w:rsidRPr="00A23B8F" w:rsidRDefault="00A23B8F" w:rsidP="00A23B8F">
      <w:pPr>
        <w:pStyle w:val="Prrafodelista"/>
        <w:numPr>
          <w:ilvl w:val="0"/>
          <w:numId w:val="47"/>
        </w:numPr>
        <w:spacing w:after="160" w:line="360" w:lineRule="auto"/>
        <w:jc w:val="both"/>
        <w:rPr>
          <w:rFonts w:ascii="Arial" w:hAnsi="Arial" w:cs="Arial"/>
          <w:sz w:val="17"/>
          <w:szCs w:val="17"/>
        </w:rPr>
      </w:pPr>
      <w:r w:rsidRPr="00A23B8F">
        <w:rPr>
          <w:rFonts w:ascii="Arial" w:hAnsi="Arial" w:cs="Arial"/>
          <w:sz w:val="17"/>
          <w:szCs w:val="17"/>
        </w:rPr>
        <w:t>Consistencia.</w:t>
      </w:r>
    </w:p>
    <w:p w:rsidR="00A23B8F" w:rsidRPr="00A23B8F" w:rsidRDefault="00A23B8F" w:rsidP="00A23B8F">
      <w:pPr>
        <w:pStyle w:val="Prrafodelista"/>
        <w:spacing w:line="360" w:lineRule="auto"/>
        <w:jc w:val="both"/>
        <w:rPr>
          <w:rFonts w:ascii="Arial" w:hAnsi="Arial" w:cs="Arial"/>
          <w:sz w:val="17"/>
          <w:szCs w:val="17"/>
        </w:rPr>
      </w:pPr>
    </w:p>
    <w:p w:rsidR="00A23B8F" w:rsidRPr="00A23B8F" w:rsidRDefault="00A23B8F" w:rsidP="00A23B8F">
      <w:pPr>
        <w:pStyle w:val="Prrafodelista"/>
        <w:spacing w:line="360" w:lineRule="auto"/>
        <w:jc w:val="both"/>
        <w:rPr>
          <w:rFonts w:ascii="Arial" w:hAnsi="Arial" w:cs="Arial"/>
          <w:sz w:val="17"/>
          <w:szCs w:val="17"/>
        </w:rPr>
      </w:pPr>
    </w:p>
    <w:p w:rsidR="00A23B8F" w:rsidRPr="00A23B8F" w:rsidRDefault="00A23B8F" w:rsidP="00A23B8F">
      <w:pPr>
        <w:spacing w:line="360" w:lineRule="auto"/>
        <w:jc w:val="both"/>
        <w:rPr>
          <w:rFonts w:ascii="Arial" w:hAnsi="Arial" w:cs="Arial"/>
          <w:sz w:val="17"/>
          <w:szCs w:val="17"/>
        </w:rPr>
      </w:pPr>
      <w:r w:rsidRPr="00A23B8F">
        <w:rPr>
          <w:rFonts w:ascii="Arial" w:hAnsi="Arial" w:cs="Arial"/>
          <w:sz w:val="17"/>
          <w:szCs w:val="17"/>
        </w:rPr>
        <w:t>c) para el reconocimiento, evaluación y revelación de los diferentes rubros de activos, pasivo y patrimonio se reconocen a valor histórico.</w:t>
      </w:r>
    </w:p>
    <w:p w:rsidR="00A23B8F" w:rsidRPr="00A23B8F" w:rsidRDefault="00A23B8F" w:rsidP="00A23B8F">
      <w:pPr>
        <w:spacing w:line="360" w:lineRule="auto"/>
        <w:jc w:val="both"/>
        <w:rPr>
          <w:rFonts w:ascii="Arial" w:hAnsi="Arial" w:cs="Arial"/>
          <w:sz w:val="17"/>
          <w:szCs w:val="17"/>
        </w:rPr>
      </w:pPr>
      <w:r w:rsidRPr="00A23B8F">
        <w:rPr>
          <w:rFonts w:ascii="Arial" w:hAnsi="Arial" w:cs="Arial"/>
          <w:sz w:val="17"/>
          <w:szCs w:val="17"/>
        </w:rPr>
        <w:t>d) El tribunal de Justicia Administrativa del Estado de Querétaro no ha tenido la necesidad de utilizar Normatividad supletoria para la elaboración de su información financiera.</w:t>
      </w:r>
    </w:p>
    <w:p w:rsidR="00A23B8F" w:rsidRPr="00A23B8F" w:rsidRDefault="00A23B8F" w:rsidP="00A23B8F">
      <w:pPr>
        <w:spacing w:line="360" w:lineRule="auto"/>
        <w:jc w:val="both"/>
        <w:rPr>
          <w:rFonts w:ascii="Arial" w:hAnsi="Arial" w:cs="Arial"/>
          <w:sz w:val="17"/>
          <w:szCs w:val="17"/>
        </w:rPr>
      </w:pPr>
    </w:p>
    <w:p w:rsidR="00A23B8F" w:rsidRDefault="00A23B8F" w:rsidP="00A23B8F">
      <w:pPr>
        <w:spacing w:line="360" w:lineRule="auto"/>
        <w:jc w:val="both"/>
        <w:rPr>
          <w:rFonts w:ascii="Arial" w:hAnsi="Arial" w:cs="Arial"/>
          <w:b/>
          <w:sz w:val="17"/>
          <w:szCs w:val="17"/>
        </w:rPr>
      </w:pPr>
    </w:p>
    <w:p w:rsid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6.- Políticas de Contabilidad Significativas</w:t>
      </w:r>
    </w:p>
    <w:p w:rsidR="00A23B8F" w:rsidRPr="00A23B8F" w:rsidRDefault="00A23B8F" w:rsidP="00A23B8F">
      <w:pPr>
        <w:spacing w:line="360" w:lineRule="auto"/>
        <w:jc w:val="both"/>
        <w:rPr>
          <w:rFonts w:ascii="Arial" w:hAnsi="Arial" w:cs="Arial"/>
          <w:b/>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Beneficios a empleados:</w:t>
      </w:r>
    </w:p>
    <w:p w:rsidR="00A23B8F" w:rsidRPr="00A23B8F" w:rsidRDefault="00A23B8F" w:rsidP="00A23B8F">
      <w:pPr>
        <w:spacing w:line="360" w:lineRule="auto"/>
        <w:jc w:val="both"/>
        <w:rPr>
          <w:rFonts w:ascii="Arial" w:hAnsi="Arial" w:cs="Arial"/>
          <w:sz w:val="17"/>
          <w:szCs w:val="17"/>
        </w:rPr>
      </w:pPr>
      <w:r w:rsidRPr="00A23B8F">
        <w:rPr>
          <w:rFonts w:ascii="Arial" w:hAnsi="Arial" w:cs="Arial"/>
          <w:sz w:val="17"/>
          <w:szCs w:val="17"/>
        </w:rPr>
        <w:t>Para el caso de las prestaciones a los empleados por prima de antigüedad e indemnizaciones, están se registran en el momento en que se lleva acabo el pago de las mismas.</w:t>
      </w:r>
    </w:p>
    <w:p w:rsidR="00A23B8F" w:rsidRDefault="00A23B8F" w:rsidP="00A23B8F">
      <w:pPr>
        <w:spacing w:line="360" w:lineRule="auto"/>
        <w:jc w:val="both"/>
        <w:rPr>
          <w:rFonts w:ascii="Arial" w:hAnsi="Arial" w:cs="Arial"/>
          <w:b/>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Provisiones:</w:t>
      </w:r>
    </w:p>
    <w:p w:rsidR="00A23B8F" w:rsidRPr="00A23B8F" w:rsidRDefault="00A23B8F" w:rsidP="00A23B8F">
      <w:pPr>
        <w:spacing w:line="360" w:lineRule="auto"/>
        <w:jc w:val="both"/>
        <w:rPr>
          <w:rFonts w:ascii="Arial" w:hAnsi="Arial" w:cs="Arial"/>
          <w:sz w:val="17"/>
          <w:szCs w:val="17"/>
        </w:rPr>
      </w:pPr>
      <w:r w:rsidRPr="00A23B8F">
        <w:rPr>
          <w:rFonts w:ascii="Arial" w:hAnsi="Arial" w:cs="Arial"/>
          <w:sz w:val="17"/>
          <w:szCs w:val="17"/>
        </w:rPr>
        <w:t>Las provisiones registradas en el rubro de cuentas por pagar, se refieren a las aportaciones de seguridad social y al entero de retenciones a los empleados, que se pagan en el mes siguiente al del cierre del periodo reportado.</w:t>
      </w:r>
    </w:p>
    <w:p w:rsidR="00A23B8F" w:rsidRPr="00A23B8F" w:rsidRDefault="00A23B8F" w:rsidP="00A23B8F">
      <w:pPr>
        <w:spacing w:line="360" w:lineRule="auto"/>
        <w:jc w:val="both"/>
        <w:rPr>
          <w:rFonts w:ascii="Arial" w:hAnsi="Arial" w:cs="Arial"/>
          <w:b/>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Cambios en políticas contables y corrección de errores:</w:t>
      </w:r>
    </w:p>
    <w:p w:rsidR="00A23B8F" w:rsidRPr="00A23B8F" w:rsidRDefault="00A23B8F" w:rsidP="00A23B8F">
      <w:pPr>
        <w:spacing w:line="360" w:lineRule="auto"/>
        <w:jc w:val="both"/>
        <w:rPr>
          <w:rFonts w:ascii="Arial" w:hAnsi="Arial" w:cs="Arial"/>
          <w:sz w:val="17"/>
          <w:szCs w:val="17"/>
        </w:rPr>
      </w:pPr>
      <w:r w:rsidRPr="00A23B8F">
        <w:rPr>
          <w:rFonts w:ascii="Arial" w:hAnsi="Arial" w:cs="Arial"/>
          <w:sz w:val="17"/>
          <w:szCs w:val="17"/>
        </w:rPr>
        <w:lastRenderedPageBreak/>
        <w:t xml:space="preserve">En el periodo que se informa se efectuaron ajustes por cambios de valor que afectaron a Resultados de Ejercicios Anteriores, por un monto de </w:t>
      </w:r>
      <w:r w:rsidRPr="00A23B8F">
        <w:rPr>
          <w:rFonts w:ascii="Arial" w:hAnsi="Arial" w:cs="Arial"/>
          <w:b/>
          <w:sz w:val="17"/>
          <w:szCs w:val="17"/>
        </w:rPr>
        <w:t xml:space="preserve">$226,300, </w:t>
      </w:r>
      <w:r w:rsidRPr="00A23B8F">
        <w:rPr>
          <w:rFonts w:ascii="Arial" w:hAnsi="Arial" w:cs="Arial"/>
          <w:sz w:val="17"/>
          <w:szCs w:val="17"/>
        </w:rPr>
        <w:t>correspondientes principalmente a reclasificación de gastos del periodo anterior por correcciones.</w:t>
      </w:r>
    </w:p>
    <w:p w:rsidR="00A23B8F" w:rsidRDefault="00A23B8F" w:rsidP="00A23B8F">
      <w:pPr>
        <w:spacing w:line="360" w:lineRule="auto"/>
        <w:jc w:val="both"/>
        <w:rPr>
          <w:rFonts w:ascii="Arial" w:hAnsi="Arial" w:cs="Arial"/>
          <w:b/>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Reservas:</w:t>
      </w:r>
    </w:p>
    <w:p w:rsidR="00A23B8F" w:rsidRPr="00A23B8F" w:rsidRDefault="00A23B8F" w:rsidP="00A23B8F">
      <w:pPr>
        <w:spacing w:line="360" w:lineRule="auto"/>
        <w:jc w:val="both"/>
        <w:rPr>
          <w:rFonts w:ascii="Arial" w:hAnsi="Arial" w:cs="Arial"/>
          <w:sz w:val="17"/>
          <w:szCs w:val="17"/>
        </w:rPr>
      </w:pPr>
      <w:r w:rsidRPr="00A23B8F">
        <w:rPr>
          <w:rFonts w:ascii="Arial" w:hAnsi="Arial" w:cs="Arial"/>
          <w:sz w:val="17"/>
          <w:szCs w:val="17"/>
        </w:rPr>
        <w:t>No se tienen establecidas reservas de ningún tipo.</w:t>
      </w:r>
    </w:p>
    <w:p w:rsidR="00A23B8F" w:rsidRPr="00A23B8F" w:rsidRDefault="00A23B8F" w:rsidP="00A23B8F">
      <w:pPr>
        <w:spacing w:line="360" w:lineRule="auto"/>
        <w:jc w:val="both"/>
        <w:rPr>
          <w:rFonts w:ascii="Arial" w:hAnsi="Arial" w:cs="Arial"/>
          <w:b/>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7.- Posición en Moneda Extranjera y Protección por Riesgo Cambiario</w:t>
      </w:r>
    </w:p>
    <w:p w:rsidR="00A23B8F" w:rsidRDefault="00A23B8F" w:rsidP="00A23B8F">
      <w:pPr>
        <w:spacing w:line="360" w:lineRule="auto"/>
        <w:jc w:val="both"/>
        <w:rPr>
          <w:rFonts w:ascii="Arial" w:hAnsi="Arial" w:cs="Arial"/>
          <w:sz w:val="17"/>
          <w:szCs w:val="17"/>
        </w:rPr>
      </w:pPr>
      <w:r w:rsidRPr="00A23B8F">
        <w:rPr>
          <w:rFonts w:ascii="Arial" w:hAnsi="Arial" w:cs="Arial"/>
          <w:sz w:val="17"/>
          <w:szCs w:val="17"/>
        </w:rPr>
        <w:t>La entidad no realiza operaciones con moneda extrajera por lo que no está expuesta a riesgo cambiario.</w:t>
      </w:r>
    </w:p>
    <w:p w:rsidR="00A23B8F" w:rsidRPr="00A23B8F" w:rsidRDefault="00A23B8F" w:rsidP="00A23B8F">
      <w:pPr>
        <w:spacing w:line="360" w:lineRule="auto"/>
        <w:jc w:val="both"/>
        <w:rPr>
          <w:rFonts w:ascii="Arial" w:hAnsi="Arial" w:cs="Arial"/>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8.- Reporte Analítico del Activo</w:t>
      </w:r>
    </w:p>
    <w:p w:rsidR="00A23B8F" w:rsidRDefault="00A23B8F" w:rsidP="00A23B8F">
      <w:pPr>
        <w:spacing w:line="360" w:lineRule="auto"/>
        <w:jc w:val="both"/>
        <w:rPr>
          <w:rFonts w:ascii="Arial" w:hAnsi="Arial" w:cs="Arial"/>
          <w:sz w:val="17"/>
          <w:szCs w:val="17"/>
        </w:rPr>
      </w:pPr>
      <w:r w:rsidRPr="00A23B8F">
        <w:rPr>
          <w:rFonts w:ascii="Arial" w:hAnsi="Arial" w:cs="Arial"/>
          <w:sz w:val="17"/>
          <w:szCs w:val="17"/>
        </w:rPr>
        <w:t>Las principales características respecto de la valoración, depreciación y amortización de activos, se encuentran indicadas en las notas de desglose y de memoria.</w:t>
      </w:r>
    </w:p>
    <w:p w:rsidR="00A23B8F" w:rsidRPr="00A23B8F" w:rsidRDefault="00A23B8F" w:rsidP="00A23B8F">
      <w:pPr>
        <w:spacing w:line="360" w:lineRule="auto"/>
        <w:jc w:val="both"/>
        <w:rPr>
          <w:rFonts w:ascii="Arial" w:hAnsi="Arial" w:cs="Arial"/>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9.- Fideicomisos, Mandatos y Análogos</w:t>
      </w:r>
    </w:p>
    <w:p w:rsidR="00A23B8F" w:rsidRPr="00A23B8F" w:rsidRDefault="00A23B8F" w:rsidP="00A23B8F">
      <w:pPr>
        <w:spacing w:line="360" w:lineRule="auto"/>
        <w:jc w:val="both"/>
        <w:rPr>
          <w:rFonts w:ascii="Arial" w:hAnsi="Arial" w:cs="Arial"/>
          <w:sz w:val="17"/>
          <w:szCs w:val="17"/>
        </w:rPr>
      </w:pPr>
      <w:r w:rsidRPr="00A23B8F">
        <w:rPr>
          <w:rFonts w:ascii="Arial" w:hAnsi="Arial" w:cs="Arial"/>
          <w:sz w:val="17"/>
          <w:szCs w:val="17"/>
        </w:rPr>
        <w:t>Como se informó en la nota 4, El Tribunal de Justicia Administrativa Del Estado de Querétaro, no es fideicomitente o fideicomisario de algún fideicomiso o mandato análogo.</w:t>
      </w:r>
    </w:p>
    <w:p w:rsidR="00A23B8F" w:rsidRPr="00A23B8F" w:rsidRDefault="00A23B8F" w:rsidP="00A23B8F">
      <w:pPr>
        <w:spacing w:line="360" w:lineRule="auto"/>
        <w:jc w:val="both"/>
        <w:rPr>
          <w:rFonts w:ascii="Arial" w:hAnsi="Arial" w:cs="Arial"/>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10.- Reporte de la Recaudación</w:t>
      </w:r>
    </w:p>
    <w:p w:rsidR="00A23B8F" w:rsidRPr="00A23B8F" w:rsidRDefault="00A23B8F" w:rsidP="00A23B8F">
      <w:pPr>
        <w:spacing w:line="360" w:lineRule="auto"/>
        <w:jc w:val="both"/>
        <w:rPr>
          <w:rFonts w:ascii="Arial" w:hAnsi="Arial" w:cs="Arial"/>
          <w:sz w:val="17"/>
          <w:szCs w:val="17"/>
        </w:rPr>
      </w:pPr>
      <w:r w:rsidRPr="00A23B8F">
        <w:rPr>
          <w:rFonts w:ascii="Arial" w:hAnsi="Arial" w:cs="Arial"/>
          <w:sz w:val="17"/>
          <w:szCs w:val="17"/>
        </w:rPr>
        <w:t>El Tribunal de Justicia Administrativa Del Estado de Querétaro, no percibe ingresos por bienes o prestación de servicios.</w:t>
      </w:r>
    </w:p>
    <w:p w:rsidR="00A23B8F" w:rsidRPr="00A23B8F" w:rsidRDefault="00A23B8F" w:rsidP="00A23B8F">
      <w:pPr>
        <w:spacing w:line="360" w:lineRule="auto"/>
        <w:jc w:val="both"/>
        <w:rPr>
          <w:rFonts w:ascii="Arial" w:hAnsi="Arial" w:cs="Arial"/>
          <w:b/>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11.- Información sobre la Deuda y el Reporte Analítico de la Deuda</w:t>
      </w:r>
    </w:p>
    <w:p w:rsidR="00A23B8F" w:rsidRPr="00A23B8F" w:rsidRDefault="00A23B8F" w:rsidP="00A23B8F">
      <w:pPr>
        <w:spacing w:line="360" w:lineRule="auto"/>
        <w:jc w:val="both"/>
        <w:rPr>
          <w:rFonts w:ascii="Arial" w:hAnsi="Arial" w:cs="Arial"/>
          <w:sz w:val="17"/>
          <w:szCs w:val="17"/>
        </w:rPr>
      </w:pPr>
      <w:r w:rsidRPr="00A23B8F">
        <w:rPr>
          <w:rFonts w:ascii="Arial" w:hAnsi="Arial" w:cs="Arial"/>
          <w:sz w:val="17"/>
          <w:szCs w:val="17"/>
        </w:rPr>
        <w:t>El Tribunal de Justicia Administrativa Del Estado de Querétaro, no ha contraído ningún tipo de obligaciones de deuda pública.</w:t>
      </w:r>
    </w:p>
    <w:p w:rsidR="00A23B8F" w:rsidRPr="00A23B8F" w:rsidRDefault="00A23B8F" w:rsidP="00A23B8F">
      <w:pPr>
        <w:spacing w:line="360" w:lineRule="auto"/>
        <w:jc w:val="both"/>
        <w:rPr>
          <w:rFonts w:ascii="Arial" w:hAnsi="Arial" w:cs="Arial"/>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12.- Calificaciones otorgadas</w:t>
      </w:r>
    </w:p>
    <w:p w:rsidR="00A23B8F" w:rsidRPr="00A23B8F" w:rsidRDefault="00A23B8F" w:rsidP="00A23B8F">
      <w:pPr>
        <w:spacing w:line="360" w:lineRule="auto"/>
        <w:jc w:val="both"/>
        <w:rPr>
          <w:rFonts w:ascii="Arial" w:hAnsi="Arial" w:cs="Arial"/>
          <w:sz w:val="17"/>
          <w:szCs w:val="17"/>
        </w:rPr>
      </w:pPr>
      <w:r w:rsidRPr="00A23B8F">
        <w:rPr>
          <w:rFonts w:ascii="Arial" w:hAnsi="Arial" w:cs="Arial"/>
          <w:sz w:val="17"/>
          <w:szCs w:val="17"/>
        </w:rPr>
        <w:t>No aplica al Tribunal.</w:t>
      </w:r>
    </w:p>
    <w:p w:rsidR="00A23B8F" w:rsidRPr="00A23B8F" w:rsidRDefault="00A23B8F" w:rsidP="00A23B8F">
      <w:pPr>
        <w:spacing w:line="360" w:lineRule="auto"/>
        <w:jc w:val="both"/>
        <w:rPr>
          <w:rFonts w:ascii="Arial" w:hAnsi="Arial" w:cs="Arial"/>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13.- Proceso de Mejora</w:t>
      </w:r>
    </w:p>
    <w:p w:rsidR="00A23B8F" w:rsidRPr="00A23B8F" w:rsidRDefault="00A23B8F" w:rsidP="00A23B8F">
      <w:pPr>
        <w:spacing w:line="360" w:lineRule="auto"/>
        <w:jc w:val="both"/>
        <w:rPr>
          <w:rFonts w:ascii="Arial" w:hAnsi="Arial" w:cs="Arial"/>
          <w:sz w:val="17"/>
          <w:szCs w:val="17"/>
        </w:rPr>
      </w:pPr>
      <w:r w:rsidRPr="00A23B8F">
        <w:rPr>
          <w:rFonts w:ascii="Arial" w:hAnsi="Arial" w:cs="Arial"/>
          <w:b/>
          <w:sz w:val="17"/>
          <w:szCs w:val="17"/>
        </w:rPr>
        <w:t xml:space="preserve">Principales Políticas de Control Interno. </w:t>
      </w:r>
      <w:r w:rsidRPr="00A23B8F">
        <w:rPr>
          <w:rFonts w:ascii="Arial" w:hAnsi="Arial" w:cs="Arial"/>
          <w:sz w:val="17"/>
          <w:szCs w:val="17"/>
        </w:rPr>
        <w:t xml:space="preserve">En materia de ingreso y gasto se han establecido políticas y procedimientos a través del Manual de Disposiciones Administrativas, cuyo objeto es garantizar la adecuada operación de las principales actividades del </w:t>
      </w:r>
      <w:r w:rsidRPr="00A23B8F">
        <w:rPr>
          <w:rFonts w:ascii="Arial" w:hAnsi="Arial" w:cs="Arial"/>
          <w:b/>
          <w:sz w:val="17"/>
          <w:szCs w:val="17"/>
        </w:rPr>
        <w:t>Tribunal</w:t>
      </w:r>
      <w:r w:rsidRPr="00A23B8F">
        <w:rPr>
          <w:rFonts w:ascii="Arial" w:hAnsi="Arial" w:cs="Arial"/>
          <w:sz w:val="17"/>
          <w:szCs w:val="17"/>
        </w:rPr>
        <w:t xml:space="preserve"> como es la adquisición y contratación de bienes y servicios, la automatización de comisiones y otorgamiento de viáticos, el control y asistencia al personal, entre otros, a fin de coadyuvar al adecuado desempeño financiero y cumplimiento de metas.</w:t>
      </w:r>
    </w:p>
    <w:p w:rsidR="00A23B8F" w:rsidRPr="00A23B8F" w:rsidRDefault="00A23B8F" w:rsidP="00A23B8F">
      <w:pPr>
        <w:spacing w:line="360" w:lineRule="auto"/>
        <w:jc w:val="both"/>
        <w:rPr>
          <w:rFonts w:ascii="Arial" w:hAnsi="Arial" w:cs="Arial"/>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14.- Información por Segmentos</w:t>
      </w:r>
    </w:p>
    <w:p w:rsidR="00A23B8F" w:rsidRPr="00A23B8F" w:rsidRDefault="00A23B8F" w:rsidP="00A23B8F">
      <w:pPr>
        <w:spacing w:line="360" w:lineRule="auto"/>
        <w:jc w:val="both"/>
        <w:rPr>
          <w:rFonts w:ascii="Arial" w:hAnsi="Arial" w:cs="Arial"/>
          <w:sz w:val="17"/>
          <w:szCs w:val="17"/>
        </w:rPr>
      </w:pPr>
      <w:r w:rsidRPr="00A23B8F">
        <w:rPr>
          <w:rFonts w:ascii="Arial" w:hAnsi="Arial" w:cs="Arial"/>
          <w:sz w:val="17"/>
          <w:szCs w:val="17"/>
        </w:rPr>
        <w:t xml:space="preserve">No aplicable al </w:t>
      </w:r>
      <w:r w:rsidRPr="00A23B8F">
        <w:rPr>
          <w:rFonts w:ascii="Arial" w:hAnsi="Arial" w:cs="Arial"/>
          <w:b/>
          <w:sz w:val="17"/>
          <w:szCs w:val="17"/>
        </w:rPr>
        <w:t>Tribunal</w:t>
      </w:r>
      <w:r w:rsidRPr="00A23B8F">
        <w:rPr>
          <w:rFonts w:ascii="Arial" w:hAnsi="Arial" w:cs="Arial"/>
          <w:sz w:val="17"/>
          <w:szCs w:val="17"/>
        </w:rPr>
        <w:t>.</w:t>
      </w:r>
    </w:p>
    <w:p w:rsidR="00A23B8F" w:rsidRPr="00A23B8F" w:rsidRDefault="00A23B8F" w:rsidP="00A23B8F">
      <w:pPr>
        <w:spacing w:line="360" w:lineRule="auto"/>
        <w:jc w:val="both"/>
        <w:rPr>
          <w:rFonts w:ascii="Arial" w:hAnsi="Arial" w:cs="Arial"/>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lastRenderedPageBreak/>
        <w:t>15.- Eventos Posteriores al Cierre</w:t>
      </w:r>
    </w:p>
    <w:p w:rsidR="00A23B8F" w:rsidRPr="00A23B8F" w:rsidRDefault="00A23B8F" w:rsidP="00A23B8F">
      <w:pPr>
        <w:spacing w:line="360" w:lineRule="auto"/>
        <w:jc w:val="both"/>
        <w:rPr>
          <w:rFonts w:ascii="Arial" w:hAnsi="Arial" w:cs="Arial"/>
          <w:sz w:val="17"/>
          <w:szCs w:val="17"/>
        </w:rPr>
      </w:pPr>
      <w:r w:rsidRPr="00A23B8F">
        <w:rPr>
          <w:rFonts w:ascii="Arial" w:hAnsi="Arial" w:cs="Arial"/>
          <w:sz w:val="17"/>
          <w:szCs w:val="17"/>
        </w:rPr>
        <w:t>No se identifican a la fecha de cierre eventos o hechos relevantes que afecten la información financiera reportada.</w:t>
      </w:r>
    </w:p>
    <w:p w:rsidR="00A23B8F" w:rsidRPr="00A23B8F" w:rsidRDefault="00A23B8F" w:rsidP="00A23B8F">
      <w:pPr>
        <w:spacing w:line="360" w:lineRule="auto"/>
        <w:jc w:val="both"/>
        <w:rPr>
          <w:rFonts w:ascii="Arial" w:hAnsi="Arial" w:cs="Arial"/>
          <w:sz w:val="17"/>
          <w:szCs w:val="17"/>
        </w:rPr>
      </w:pPr>
    </w:p>
    <w:p w:rsidR="00A23B8F" w:rsidRPr="00A23B8F" w:rsidRDefault="00A23B8F" w:rsidP="00A23B8F">
      <w:pPr>
        <w:spacing w:line="360" w:lineRule="auto"/>
        <w:jc w:val="both"/>
        <w:rPr>
          <w:rFonts w:ascii="Arial" w:hAnsi="Arial" w:cs="Arial"/>
          <w:b/>
          <w:sz w:val="17"/>
          <w:szCs w:val="17"/>
        </w:rPr>
      </w:pPr>
      <w:r w:rsidRPr="00A23B8F">
        <w:rPr>
          <w:rFonts w:ascii="Arial" w:hAnsi="Arial" w:cs="Arial"/>
          <w:b/>
          <w:sz w:val="17"/>
          <w:szCs w:val="17"/>
        </w:rPr>
        <w:t>16.- Partes Relacionadas</w:t>
      </w:r>
    </w:p>
    <w:p w:rsidR="00A23B8F" w:rsidRPr="00A23B8F" w:rsidRDefault="00A23B8F" w:rsidP="00A23B8F">
      <w:pPr>
        <w:spacing w:line="360" w:lineRule="auto"/>
        <w:jc w:val="both"/>
        <w:rPr>
          <w:rFonts w:ascii="Arial" w:hAnsi="Arial" w:cs="Arial"/>
          <w:b/>
          <w:sz w:val="17"/>
          <w:szCs w:val="17"/>
        </w:rPr>
      </w:pPr>
      <w:r w:rsidRPr="00A23B8F">
        <w:rPr>
          <w:rFonts w:ascii="Arial" w:hAnsi="Arial" w:cs="Arial"/>
          <w:sz w:val="17"/>
          <w:szCs w:val="17"/>
        </w:rPr>
        <w:t xml:space="preserve">No aplicable al </w:t>
      </w:r>
      <w:r w:rsidRPr="00A23B8F">
        <w:rPr>
          <w:rFonts w:ascii="Arial" w:hAnsi="Arial" w:cs="Arial"/>
          <w:b/>
          <w:sz w:val="17"/>
          <w:szCs w:val="17"/>
        </w:rPr>
        <w:t>Tribunal</w:t>
      </w:r>
    </w:p>
    <w:p w:rsidR="00A23B8F" w:rsidRPr="002D70DA" w:rsidRDefault="00A23B8F" w:rsidP="00A23B8F">
      <w:pPr>
        <w:autoSpaceDE w:val="0"/>
        <w:autoSpaceDN w:val="0"/>
        <w:adjustRightInd w:val="0"/>
        <w:spacing w:before="240" w:after="120" w:line="360" w:lineRule="auto"/>
        <w:jc w:val="center"/>
        <w:rPr>
          <w:rFonts w:ascii="Arial" w:hAnsi="Arial" w:cs="Arial"/>
          <w:b/>
          <w:sz w:val="17"/>
          <w:szCs w:val="17"/>
        </w:rPr>
      </w:pPr>
    </w:p>
    <w:p w:rsidR="00F279D8" w:rsidRPr="002D70DA" w:rsidRDefault="00F279D8" w:rsidP="00A23B8F">
      <w:pPr>
        <w:autoSpaceDE w:val="0"/>
        <w:autoSpaceDN w:val="0"/>
        <w:adjustRightInd w:val="0"/>
        <w:spacing w:before="80" w:line="360" w:lineRule="auto"/>
        <w:jc w:val="both"/>
        <w:rPr>
          <w:rFonts w:ascii="Arial" w:hAnsi="Arial" w:cs="Arial"/>
          <w:bCs/>
          <w:iCs/>
          <w:sz w:val="17"/>
          <w:szCs w:val="17"/>
          <w:lang w:eastAsia="es-ES"/>
        </w:rPr>
      </w:pPr>
    </w:p>
    <w:p w:rsidR="008053D2" w:rsidRDefault="008053D2" w:rsidP="00A23B8F">
      <w:pPr>
        <w:autoSpaceDE w:val="0"/>
        <w:autoSpaceDN w:val="0"/>
        <w:adjustRightInd w:val="0"/>
        <w:spacing w:before="80" w:line="360" w:lineRule="auto"/>
        <w:jc w:val="both"/>
        <w:rPr>
          <w:rFonts w:ascii="Arial" w:hAnsi="Arial" w:cs="Arial"/>
          <w:bCs/>
          <w:iCs/>
          <w:sz w:val="17"/>
          <w:szCs w:val="17"/>
          <w:lang w:eastAsia="es-ES"/>
        </w:rPr>
      </w:pPr>
    </w:p>
    <w:p w:rsidR="0085145D" w:rsidRPr="002D70DA" w:rsidRDefault="0085145D" w:rsidP="00A23B8F">
      <w:pPr>
        <w:autoSpaceDE w:val="0"/>
        <w:autoSpaceDN w:val="0"/>
        <w:adjustRightInd w:val="0"/>
        <w:spacing w:before="80" w:line="360" w:lineRule="auto"/>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rsidP="00A23B8F">
            <w:pPr>
              <w:spacing w:line="360" w:lineRule="auto"/>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rsidP="00A23B8F">
            <w:pPr>
              <w:spacing w:line="360" w:lineRule="auto"/>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rsidP="00A23B8F">
            <w:pPr>
              <w:spacing w:line="360" w:lineRule="auto"/>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rsidP="00A23B8F">
            <w:pPr>
              <w:spacing w:line="360" w:lineRule="auto"/>
              <w:jc w:val="center"/>
              <w:rPr>
                <w:rFonts w:ascii="Arial" w:hAnsi="Arial" w:cs="Arial"/>
                <w:sz w:val="17"/>
                <w:szCs w:val="17"/>
              </w:rPr>
            </w:pPr>
          </w:p>
        </w:tc>
      </w:tr>
      <w:tr w:rsidR="00195F8A" w:rsidRPr="002D70DA" w:rsidTr="0086387B">
        <w:trPr>
          <w:trHeight w:val="300"/>
        </w:trPr>
        <w:tc>
          <w:tcPr>
            <w:tcW w:w="5840" w:type="dxa"/>
            <w:tcBorders>
              <w:top w:val="single" w:sz="4" w:space="0" w:color="auto"/>
              <w:left w:val="nil"/>
              <w:bottom w:val="nil"/>
              <w:right w:val="nil"/>
            </w:tcBorders>
            <w:shd w:val="clear" w:color="000000" w:fill="FFFFFF"/>
            <w:noWrap/>
            <w:vAlign w:val="bottom"/>
            <w:hideMark/>
          </w:tcPr>
          <w:p w:rsidR="00195F8A" w:rsidRPr="002D70DA" w:rsidRDefault="00FC6BC4" w:rsidP="00A23B8F">
            <w:pPr>
              <w:spacing w:line="360" w:lineRule="auto"/>
              <w:jc w:val="center"/>
              <w:rPr>
                <w:rFonts w:ascii="Arial" w:hAnsi="Arial" w:cs="Arial"/>
                <w:color w:val="000000"/>
                <w:sz w:val="17"/>
                <w:szCs w:val="17"/>
              </w:rPr>
            </w:pPr>
            <w:r>
              <w:rPr>
                <w:rFonts w:ascii="Arial" w:hAnsi="Arial" w:cs="Arial"/>
                <w:color w:val="000000"/>
                <w:sz w:val="17"/>
                <w:szCs w:val="17"/>
              </w:rPr>
              <w:t>L</w:t>
            </w:r>
            <w:r w:rsidR="0086387B">
              <w:rPr>
                <w:rFonts w:ascii="Arial" w:hAnsi="Arial" w:cs="Arial"/>
                <w:color w:val="000000"/>
                <w:sz w:val="17"/>
                <w:szCs w:val="17"/>
              </w:rPr>
              <w:t>ic. José Landeros Arteaga</w:t>
            </w:r>
          </w:p>
        </w:tc>
        <w:tc>
          <w:tcPr>
            <w:tcW w:w="280" w:type="dxa"/>
            <w:tcBorders>
              <w:top w:val="nil"/>
              <w:left w:val="nil"/>
              <w:bottom w:val="nil"/>
              <w:right w:val="nil"/>
            </w:tcBorders>
            <w:shd w:val="clear" w:color="000000" w:fill="FFFFFF"/>
            <w:noWrap/>
            <w:vAlign w:val="bottom"/>
          </w:tcPr>
          <w:p w:rsidR="00195F8A" w:rsidRPr="002D70DA" w:rsidRDefault="00195F8A" w:rsidP="00A23B8F">
            <w:pPr>
              <w:spacing w:line="360" w:lineRule="auto"/>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rsidP="00A23B8F">
            <w:pPr>
              <w:spacing w:line="360" w:lineRule="auto"/>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tcPr>
          <w:p w:rsidR="0086387B" w:rsidRDefault="0086387B" w:rsidP="00A23B8F">
            <w:pPr>
              <w:spacing w:line="360" w:lineRule="auto"/>
              <w:jc w:val="center"/>
              <w:rPr>
                <w:rFonts w:ascii="Arial" w:hAnsi="Arial" w:cs="Arial"/>
                <w:color w:val="000000"/>
                <w:sz w:val="17"/>
                <w:szCs w:val="17"/>
              </w:rPr>
            </w:pPr>
          </w:p>
          <w:p w:rsidR="00FC6BC4" w:rsidRDefault="00FC6BC4" w:rsidP="00A23B8F">
            <w:pPr>
              <w:spacing w:line="360" w:lineRule="auto"/>
              <w:jc w:val="center"/>
              <w:rPr>
                <w:rFonts w:ascii="Arial" w:hAnsi="Arial" w:cs="Arial"/>
                <w:color w:val="000000"/>
                <w:sz w:val="17"/>
                <w:szCs w:val="17"/>
              </w:rPr>
            </w:pPr>
          </w:p>
          <w:p w:rsidR="00195F8A" w:rsidRDefault="00FC6BC4" w:rsidP="00A23B8F">
            <w:pPr>
              <w:spacing w:line="360" w:lineRule="auto"/>
              <w:jc w:val="center"/>
              <w:rPr>
                <w:rFonts w:ascii="Arial" w:hAnsi="Arial" w:cs="Arial"/>
                <w:color w:val="000000"/>
                <w:sz w:val="17"/>
                <w:szCs w:val="17"/>
              </w:rPr>
            </w:pPr>
            <w:r>
              <w:rPr>
                <w:rFonts w:ascii="Arial" w:hAnsi="Arial" w:cs="Arial"/>
                <w:color w:val="000000"/>
                <w:sz w:val="17"/>
                <w:szCs w:val="17"/>
              </w:rPr>
              <w:t>C</w:t>
            </w:r>
            <w:r w:rsidR="0086387B">
              <w:rPr>
                <w:rFonts w:ascii="Arial" w:hAnsi="Arial" w:cs="Arial"/>
                <w:color w:val="000000"/>
                <w:sz w:val="17"/>
                <w:szCs w:val="17"/>
              </w:rPr>
              <w:t>.P. Armida Guerra Sánchez</w:t>
            </w:r>
          </w:p>
          <w:p w:rsidR="0086387B" w:rsidRDefault="0086387B" w:rsidP="00A23B8F">
            <w:pPr>
              <w:spacing w:line="360" w:lineRule="auto"/>
              <w:jc w:val="center"/>
              <w:rPr>
                <w:rFonts w:ascii="Arial" w:hAnsi="Arial" w:cs="Arial"/>
                <w:color w:val="000000"/>
                <w:sz w:val="17"/>
                <w:szCs w:val="17"/>
              </w:rPr>
            </w:pPr>
            <w:r>
              <w:rPr>
                <w:rFonts w:ascii="Arial" w:hAnsi="Arial" w:cs="Arial"/>
                <w:color w:val="000000"/>
                <w:sz w:val="17"/>
                <w:szCs w:val="17"/>
              </w:rPr>
              <w:t>Oficial Mayor</w:t>
            </w:r>
          </w:p>
          <w:p w:rsidR="0086387B" w:rsidRPr="002D70DA" w:rsidRDefault="0086387B" w:rsidP="00A23B8F">
            <w:pPr>
              <w:spacing w:line="360" w:lineRule="auto"/>
              <w:jc w:val="center"/>
              <w:rPr>
                <w:rFonts w:ascii="Arial" w:hAnsi="Arial" w:cs="Arial"/>
                <w:color w:val="000000"/>
                <w:sz w:val="17"/>
                <w:szCs w:val="17"/>
              </w:rPr>
            </w:pPr>
          </w:p>
        </w:tc>
      </w:tr>
      <w:tr w:rsidR="00195F8A" w:rsidRPr="002D70DA" w:rsidTr="0086387B">
        <w:trPr>
          <w:trHeight w:val="300"/>
        </w:trPr>
        <w:tc>
          <w:tcPr>
            <w:tcW w:w="5840" w:type="dxa"/>
            <w:tcBorders>
              <w:top w:val="nil"/>
              <w:left w:val="nil"/>
              <w:bottom w:val="nil"/>
              <w:right w:val="nil"/>
            </w:tcBorders>
            <w:shd w:val="clear" w:color="000000" w:fill="FFFFFF"/>
            <w:hideMark/>
          </w:tcPr>
          <w:p w:rsidR="00195F8A" w:rsidRPr="002D70DA" w:rsidRDefault="0086387B" w:rsidP="00A23B8F">
            <w:pPr>
              <w:spacing w:line="360" w:lineRule="auto"/>
              <w:jc w:val="center"/>
              <w:rPr>
                <w:rFonts w:ascii="Arial" w:hAnsi="Arial" w:cs="Arial"/>
                <w:sz w:val="17"/>
                <w:szCs w:val="17"/>
              </w:rPr>
            </w:pPr>
            <w:r>
              <w:rPr>
                <w:rFonts w:ascii="Arial" w:hAnsi="Arial" w:cs="Arial"/>
                <w:sz w:val="17"/>
                <w:szCs w:val="17"/>
              </w:rPr>
              <w:t>Magistrado Presidente</w:t>
            </w:r>
          </w:p>
        </w:tc>
        <w:tc>
          <w:tcPr>
            <w:tcW w:w="280" w:type="dxa"/>
            <w:tcBorders>
              <w:top w:val="nil"/>
              <w:left w:val="nil"/>
              <w:bottom w:val="nil"/>
              <w:right w:val="nil"/>
            </w:tcBorders>
            <w:shd w:val="clear" w:color="000000" w:fill="FFFFFF"/>
            <w:noWrap/>
            <w:vAlign w:val="bottom"/>
          </w:tcPr>
          <w:p w:rsidR="00195F8A" w:rsidRPr="002D70DA" w:rsidRDefault="00195F8A" w:rsidP="00A23B8F">
            <w:pPr>
              <w:spacing w:line="360" w:lineRule="auto"/>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rsidP="00A23B8F">
            <w:pPr>
              <w:spacing w:line="360" w:lineRule="auto"/>
              <w:rPr>
                <w:rFonts w:ascii="Arial" w:hAnsi="Arial" w:cs="Arial"/>
                <w:color w:val="000000"/>
                <w:sz w:val="17"/>
                <w:szCs w:val="17"/>
              </w:rPr>
            </w:pPr>
          </w:p>
        </w:tc>
        <w:tc>
          <w:tcPr>
            <w:tcW w:w="5840" w:type="dxa"/>
            <w:tcBorders>
              <w:top w:val="nil"/>
              <w:left w:val="nil"/>
              <w:bottom w:val="nil"/>
              <w:right w:val="nil"/>
            </w:tcBorders>
            <w:shd w:val="clear" w:color="000000" w:fill="FFFFFF"/>
          </w:tcPr>
          <w:p w:rsidR="00195F8A" w:rsidRPr="002D70DA" w:rsidRDefault="00195F8A" w:rsidP="00A23B8F">
            <w:pPr>
              <w:spacing w:line="360" w:lineRule="auto"/>
              <w:jc w:val="center"/>
              <w:rPr>
                <w:rFonts w:ascii="Arial" w:hAnsi="Arial" w:cs="Arial"/>
                <w:sz w:val="17"/>
                <w:szCs w:val="17"/>
              </w:rPr>
            </w:pPr>
          </w:p>
        </w:tc>
      </w:tr>
    </w:tbl>
    <w:p w:rsidR="0037658D" w:rsidRDefault="0037658D" w:rsidP="00A23B8F">
      <w:pPr>
        <w:spacing w:line="360" w:lineRule="auto"/>
        <w:rPr>
          <w:rFonts w:ascii="Arial" w:hAnsi="Arial" w:cs="Arial"/>
          <w:b/>
          <w:sz w:val="17"/>
          <w:szCs w:val="17"/>
        </w:rPr>
      </w:pPr>
    </w:p>
    <w:sectPr w:rsidR="0037658D" w:rsidSect="00584F3B">
      <w:headerReference w:type="even" r:id="rId12"/>
      <w:headerReference w:type="default" r:id="rId13"/>
      <w:footerReference w:type="even" r:id="rId14"/>
      <w:footerReference w:type="default" r:id="rId15"/>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9C5" w:rsidRDefault="000619C5">
      <w:r>
        <w:separator/>
      </w:r>
    </w:p>
  </w:endnote>
  <w:endnote w:type="continuationSeparator" w:id="0">
    <w:p w:rsidR="000619C5" w:rsidRDefault="0006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76" w:rsidRPr="00CF00D0" w:rsidRDefault="003A2176"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A23B8F">
      <w:rPr>
        <w:rFonts w:ascii="Avenir LT Std 45 Book" w:hAnsi="Avenir LT Std 45 Book" w:cs="Arial"/>
        <w:noProof/>
        <w:color w:val="808080"/>
        <w:szCs w:val="20"/>
      </w:rPr>
      <w:t>20</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A23B8F">
      <w:rPr>
        <w:rFonts w:ascii="Avenir LT Std 45 Book" w:hAnsi="Avenir LT Std 45 Book" w:cs="Arial"/>
        <w:noProof/>
        <w:color w:val="808080"/>
        <w:szCs w:val="20"/>
      </w:rPr>
      <w:t>33</w:t>
    </w:r>
    <w:r w:rsidRPr="00CF00D0">
      <w:rPr>
        <w:rFonts w:ascii="Avenir LT Std 45 Book" w:hAnsi="Avenir LT Std 45 Book" w:cs="Arial"/>
        <w:color w:val="808080"/>
        <w:szCs w:val="20"/>
      </w:rPr>
      <w:fldChar w:fldCharType="end"/>
    </w:r>
  </w:p>
  <w:p w:rsidR="003A2176" w:rsidRPr="00813029" w:rsidRDefault="003A2176"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76" w:rsidRPr="00CF00D0" w:rsidRDefault="003A2176"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A23B8F">
      <w:rPr>
        <w:rFonts w:ascii="Avenir LT Std 45 Book" w:hAnsi="Avenir LT Std 45 Book" w:cs="Arial"/>
        <w:noProof/>
        <w:color w:val="808080"/>
        <w:szCs w:val="20"/>
      </w:rPr>
      <w:t>19</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A23B8F">
      <w:rPr>
        <w:rFonts w:ascii="Avenir LT Std 45 Book" w:hAnsi="Avenir LT Std 45 Book" w:cs="Arial"/>
        <w:noProof/>
        <w:color w:val="808080"/>
        <w:szCs w:val="20"/>
      </w:rPr>
      <w:t>33</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9C5" w:rsidRDefault="000619C5">
      <w:r>
        <w:separator/>
      </w:r>
    </w:p>
  </w:footnote>
  <w:footnote w:type="continuationSeparator" w:id="0">
    <w:p w:rsidR="000619C5" w:rsidRDefault="000619C5">
      <w:r>
        <w:continuationSeparator/>
      </w:r>
    </w:p>
  </w:footnote>
  <w:footnote w:id="1">
    <w:p w:rsidR="003A2176" w:rsidRPr="000008C2" w:rsidRDefault="003A2176">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76" w:rsidRPr="002809DB" w:rsidRDefault="003A2176"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176" w:rsidRPr="00CF00D0" w:rsidRDefault="003A2176"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3A2176" w:rsidRPr="00CF00D0" w:rsidRDefault="003A2176"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176" w:rsidRPr="00CF00D0" w:rsidRDefault="003A2176"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3A2176" w:rsidRPr="00CF00D0" w:rsidRDefault="003A2176"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3A2176" w:rsidRPr="00CF00D0" w:rsidRDefault="003A2176"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3A2176" w:rsidRPr="00CF00D0" w:rsidRDefault="003A2176"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76" w:rsidRPr="00CF00D0" w:rsidRDefault="003A2176"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10070460" wp14:editId="783F9A15">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sidR="00A23B8F">
      <w:rPr>
        <w:rFonts w:ascii="Avenir LT Std 45 Book" w:hAnsi="Avenir LT Std 45 Book"/>
        <w:b/>
        <w:color w:val="808080"/>
        <w:sz w:val="20"/>
        <w:szCs w:val="20"/>
      </w:rPr>
      <w:t>TRIBUNAL DE JUSTICIA ADMINISTRATIVA DEL ESTADO DE QUERÉTARO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632EB2"/>
    <w:multiLevelType w:val="hybridMultilevel"/>
    <w:tmpl w:val="55762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6">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2">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9242003"/>
    <w:multiLevelType w:val="hybridMultilevel"/>
    <w:tmpl w:val="7F0441B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6">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1">
    <w:nsid w:val="76031C33"/>
    <w:multiLevelType w:val="hybridMultilevel"/>
    <w:tmpl w:val="0AE8C4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1"/>
  </w:num>
  <w:num w:numId="4">
    <w:abstractNumId w:val="24"/>
  </w:num>
  <w:num w:numId="5">
    <w:abstractNumId w:val="19"/>
  </w:num>
  <w:num w:numId="6">
    <w:abstractNumId w:val="0"/>
  </w:num>
  <w:num w:numId="7">
    <w:abstractNumId w:val="30"/>
  </w:num>
  <w:num w:numId="8">
    <w:abstractNumId w:val="25"/>
  </w:num>
  <w:num w:numId="9">
    <w:abstractNumId w:val="2"/>
  </w:num>
  <w:num w:numId="10">
    <w:abstractNumId w:val="13"/>
  </w:num>
  <w:num w:numId="11">
    <w:abstractNumId w:val="26"/>
  </w:num>
  <w:num w:numId="12">
    <w:abstractNumId w:val="3"/>
  </w:num>
  <w:num w:numId="13">
    <w:abstractNumId w:val="10"/>
  </w:num>
  <w:num w:numId="14">
    <w:abstractNumId w:val="4"/>
  </w:num>
  <w:num w:numId="15">
    <w:abstractNumId w:val="15"/>
  </w:num>
  <w:num w:numId="16">
    <w:abstractNumId w:val="0"/>
  </w:num>
  <w:num w:numId="17">
    <w:abstractNumId w:val="4"/>
  </w:num>
  <w:num w:numId="18">
    <w:abstractNumId w:val="42"/>
  </w:num>
  <w:num w:numId="19">
    <w:abstractNumId w:val="36"/>
  </w:num>
  <w:num w:numId="20">
    <w:abstractNumId w:val="44"/>
  </w:num>
  <w:num w:numId="21">
    <w:abstractNumId w:val="38"/>
  </w:num>
  <w:num w:numId="22">
    <w:abstractNumId w:val="34"/>
  </w:num>
  <w:num w:numId="23">
    <w:abstractNumId w:val="16"/>
  </w:num>
  <w:num w:numId="24">
    <w:abstractNumId w:val="32"/>
  </w:num>
  <w:num w:numId="25">
    <w:abstractNumId w:val="9"/>
  </w:num>
  <w:num w:numId="26">
    <w:abstractNumId w:val="20"/>
  </w:num>
  <w:num w:numId="27">
    <w:abstractNumId w:val="31"/>
  </w:num>
  <w:num w:numId="28">
    <w:abstractNumId w:val="35"/>
  </w:num>
  <w:num w:numId="29">
    <w:abstractNumId w:val="39"/>
  </w:num>
  <w:num w:numId="30">
    <w:abstractNumId w:val="6"/>
  </w:num>
  <w:num w:numId="31">
    <w:abstractNumId w:val="5"/>
  </w:num>
  <w:num w:numId="32">
    <w:abstractNumId w:val="11"/>
  </w:num>
  <w:num w:numId="33">
    <w:abstractNumId w:val="29"/>
  </w:num>
  <w:num w:numId="34">
    <w:abstractNumId w:val="28"/>
  </w:num>
  <w:num w:numId="35">
    <w:abstractNumId w:val="18"/>
  </w:num>
  <w:num w:numId="36">
    <w:abstractNumId w:val="43"/>
  </w:num>
  <w:num w:numId="37">
    <w:abstractNumId w:val="17"/>
  </w:num>
  <w:num w:numId="38">
    <w:abstractNumId w:val="22"/>
  </w:num>
  <w:num w:numId="39">
    <w:abstractNumId w:val="8"/>
  </w:num>
  <w:num w:numId="40">
    <w:abstractNumId w:val="33"/>
  </w:num>
  <w:num w:numId="41">
    <w:abstractNumId w:val="14"/>
  </w:num>
  <w:num w:numId="42">
    <w:abstractNumId w:val="7"/>
  </w:num>
  <w:num w:numId="43">
    <w:abstractNumId w:val="27"/>
  </w:num>
  <w:num w:numId="44">
    <w:abstractNumId w:val="37"/>
  </w:num>
  <w:num w:numId="45">
    <w:abstractNumId w:val="41"/>
  </w:num>
  <w:num w:numId="46">
    <w:abstractNumId w:val="23"/>
  </w:num>
  <w:num w:numId="4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54D1"/>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9C5"/>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055"/>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87FA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3B3"/>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176"/>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3E"/>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7797"/>
    <w:rsid w:val="004A0C97"/>
    <w:rsid w:val="004A1368"/>
    <w:rsid w:val="004A1C34"/>
    <w:rsid w:val="004A6232"/>
    <w:rsid w:val="004B147A"/>
    <w:rsid w:val="004B59B5"/>
    <w:rsid w:val="004B5C83"/>
    <w:rsid w:val="004C1719"/>
    <w:rsid w:val="004C1BA7"/>
    <w:rsid w:val="004C2FFF"/>
    <w:rsid w:val="004C339D"/>
    <w:rsid w:val="004C4FF6"/>
    <w:rsid w:val="004C60BE"/>
    <w:rsid w:val="004C6423"/>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6305"/>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0864"/>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258"/>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87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3B8F"/>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4524"/>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2CFC"/>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264D"/>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E6958"/>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C6BC4"/>
    <w:rsid w:val="00FD0281"/>
    <w:rsid w:val="00FD03B5"/>
    <w:rsid w:val="00FD0DD1"/>
    <w:rsid w:val="00FD3A63"/>
    <w:rsid w:val="00FD5FBE"/>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2.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3.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4.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049DC63-7F77-4244-BE31-7283CBD5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33</Pages>
  <Words>6516</Words>
  <Characters>35839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Oficial Mayor</cp:lastModifiedBy>
  <cp:revision>11</cp:revision>
  <cp:lastPrinted>2014-03-13T03:19:00Z</cp:lastPrinted>
  <dcterms:created xsi:type="dcterms:W3CDTF">2018-02-13T20:35:00Z</dcterms:created>
  <dcterms:modified xsi:type="dcterms:W3CDTF">2018-02-15T17:09:00Z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