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845" w:rsidRDefault="00547845"/>
    <w:p w:rsidR="00A02F33" w:rsidRPr="00BC5DBD" w:rsidRDefault="00A02F33" w:rsidP="00317A67">
      <w:pPr>
        <w:ind w:left="708" w:hanging="708"/>
        <w:jc w:val="center"/>
        <w:rPr>
          <w:b/>
        </w:rPr>
      </w:pPr>
      <w:r w:rsidRPr="00BC5DBD">
        <w:rPr>
          <w:b/>
          <w:sz w:val="32"/>
        </w:rPr>
        <w:t>NOTAS A LOS ESTADOS FINANCIEROS</w:t>
      </w:r>
    </w:p>
    <w:p w:rsidR="00A02F33" w:rsidRDefault="00A02F33" w:rsidP="00A02F33">
      <w:pPr>
        <w:jc w:val="center"/>
      </w:pPr>
    </w:p>
    <w:p w:rsidR="00A02F33" w:rsidRPr="00441445" w:rsidRDefault="00A02F33" w:rsidP="00486B62">
      <w:pPr>
        <w:pStyle w:val="Prrafodelista"/>
        <w:numPr>
          <w:ilvl w:val="0"/>
          <w:numId w:val="1"/>
        </w:numPr>
        <w:shd w:val="clear" w:color="auto" w:fill="BFBFBF" w:themeFill="background1" w:themeFillShade="BF"/>
        <w:jc w:val="center"/>
        <w:rPr>
          <w:b/>
          <w:sz w:val="24"/>
          <w:u w:val="single"/>
        </w:rPr>
      </w:pPr>
      <w:r w:rsidRPr="00441445">
        <w:rPr>
          <w:b/>
          <w:sz w:val="24"/>
          <w:u w:val="single"/>
        </w:rPr>
        <w:t>NOTAS DE DESGLOSE</w:t>
      </w:r>
    </w:p>
    <w:p w:rsidR="00BC5DBD" w:rsidRPr="00BC5DBD" w:rsidRDefault="00BC5DBD" w:rsidP="00BC5DBD">
      <w:pPr>
        <w:jc w:val="center"/>
        <w:rPr>
          <w:u w:val="single"/>
        </w:rPr>
      </w:pPr>
    </w:p>
    <w:p w:rsidR="00A02F33" w:rsidRDefault="00A02F33" w:rsidP="00A02F33">
      <w:pPr>
        <w:pStyle w:val="Prrafodelista"/>
        <w:numPr>
          <w:ilvl w:val="0"/>
          <w:numId w:val="2"/>
        </w:numPr>
        <w:rPr>
          <w:u w:val="single"/>
        </w:rPr>
      </w:pPr>
      <w:r w:rsidRPr="00A02F33">
        <w:rPr>
          <w:u w:val="single"/>
        </w:rPr>
        <w:t>ESTADO DE SITUACIÓN FINANCIERA</w:t>
      </w:r>
    </w:p>
    <w:p w:rsidR="00A02F33" w:rsidRPr="00853A77" w:rsidRDefault="00A02F33" w:rsidP="00A02F33">
      <w:pPr>
        <w:rPr>
          <w:b/>
        </w:rPr>
      </w:pPr>
      <w:r w:rsidRPr="00853A77">
        <w:rPr>
          <w:b/>
        </w:rPr>
        <w:t>ACTIVO</w:t>
      </w:r>
    </w:p>
    <w:p w:rsidR="00A02F33" w:rsidRPr="00C52078" w:rsidRDefault="00A02F33" w:rsidP="00A02F33">
      <w:pPr>
        <w:pStyle w:val="Prrafodelista"/>
        <w:numPr>
          <w:ilvl w:val="0"/>
          <w:numId w:val="3"/>
        </w:numPr>
      </w:pPr>
      <w:r w:rsidRPr="00C52078">
        <w:t>Efectivo y equivalentes</w:t>
      </w:r>
    </w:p>
    <w:p w:rsidR="00D85849" w:rsidRPr="00C52078" w:rsidRDefault="00D85849" w:rsidP="00D85849">
      <w:pPr>
        <w:pStyle w:val="Prrafodelista"/>
        <w:numPr>
          <w:ilvl w:val="1"/>
          <w:numId w:val="3"/>
        </w:numPr>
      </w:pPr>
      <w:r w:rsidRPr="00C52078">
        <w:t>Se creó un fondo fijo de administración para atender las actividades del Tribunal por un importe de $ 10,000.00</w:t>
      </w:r>
    </w:p>
    <w:p w:rsidR="00D85849" w:rsidRDefault="00D85849" w:rsidP="00D85849">
      <w:pPr>
        <w:pStyle w:val="Prrafodelista"/>
        <w:numPr>
          <w:ilvl w:val="1"/>
          <w:numId w:val="3"/>
        </w:numPr>
      </w:pPr>
      <w:r w:rsidRPr="00C52078">
        <w:t xml:space="preserve">Por lo que representa a la cuenta operativa 04057441032, presenta un saldo en libros y bancos por la cantidad de $ </w:t>
      </w:r>
      <w:r w:rsidR="00123FA0">
        <w:t>100</w:t>
      </w:r>
      <w:r w:rsidRPr="00C52078">
        <w:t>,</w:t>
      </w:r>
      <w:r w:rsidR="00123FA0">
        <w:t>371.41</w:t>
      </w:r>
    </w:p>
    <w:p w:rsidR="00123FA0" w:rsidRPr="00C52078" w:rsidRDefault="00123FA0" w:rsidP="00123FA0">
      <w:pPr>
        <w:pStyle w:val="Prrafodelista"/>
        <w:numPr>
          <w:ilvl w:val="1"/>
          <w:numId w:val="3"/>
        </w:numPr>
      </w:pPr>
      <w:r w:rsidRPr="00C52078">
        <w:t xml:space="preserve">Por lo que representa a la cuenta operativa </w:t>
      </w:r>
      <w:r w:rsidRPr="00123FA0">
        <w:t>04060737459</w:t>
      </w:r>
      <w:r w:rsidRPr="00C52078">
        <w:t xml:space="preserve">, presenta un saldo en libros y bancos por la cantidad de $ </w:t>
      </w:r>
      <w:r>
        <w:t>4</w:t>
      </w:r>
      <w:r w:rsidRPr="00C52078">
        <w:t>,</w:t>
      </w:r>
      <w:r>
        <w:t>466.94</w:t>
      </w:r>
    </w:p>
    <w:p w:rsidR="00A02F33" w:rsidRPr="00C52078" w:rsidRDefault="00A02F33" w:rsidP="00A02F33">
      <w:pPr>
        <w:pStyle w:val="Prrafodelista"/>
        <w:numPr>
          <w:ilvl w:val="0"/>
          <w:numId w:val="3"/>
        </w:numPr>
      </w:pPr>
      <w:r w:rsidRPr="00C52078">
        <w:t>Deudores diversos y cuentas por cobrar a corto plazo</w:t>
      </w:r>
    </w:p>
    <w:p w:rsidR="00D85849" w:rsidRPr="00C52078" w:rsidRDefault="00156F58" w:rsidP="00D85849">
      <w:pPr>
        <w:pStyle w:val="Prrafodelista"/>
        <w:numPr>
          <w:ilvl w:val="1"/>
          <w:numId w:val="3"/>
        </w:numPr>
      </w:pPr>
      <w:r w:rsidRPr="00C52078">
        <w:t xml:space="preserve">Al cierre del mes de </w:t>
      </w:r>
      <w:r w:rsidR="00123FA0">
        <w:t>diciembre</w:t>
      </w:r>
      <w:r w:rsidRPr="00C52078">
        <w:t xml:space="preserve"> de 2017 el saldo de la cuenta Deudores por Cobrar a Corto plazo es cero.</w:t>
      </w:r>
    </w:p>
    <w:p w:rsidR="00156F58" w:rsidRDefault="00A02F33" w:rsidP="00156F58">
      <w:pPr>
        <w:pStyle w:val="Prrafodelista"/>
        <w:numPr>
          <w:ilvl w:val="0"/>
          <w:numId w:val="3"/>
        </w:numPr>
      </w:pPr>
      <w:r>
        <w:t>Bienes muebles, inmuebles e intangibles</w:t>
      </w:r>
    </w:p>
    <w:p w:rsidR="00156F58" w:rsidRDefault="00156F58" w:rsidP="00156F58">
      <w:pPr>
        <w:pStyle w:val="Prrafodelista"/>
        <w:numPr>
          <w:ilvl w:val="1"/>
          <w:numId w:val="3"/>
        </w:numPr>
      </w:pPr>
      <w:r>
        <w:t>El Activo Fijo del Tribunal Electoral del Estado de Querétaro, se encuentra integrado de la siguiente manera:</w:t>
      </w:r>
    </w:p>
    <w:p w:rsidR="00156F58" w:rsidRDefault="00156F58" w:rsidP="00156F58">
      <w:pPr>
        <w:pStyle w:val="Prrafodelista"/>
        <w:numPr>
          <w:ilvl w:val="2"/>
          <w:numId w:val="3"/>
        </w:numPr>
      </w:pPr>
      <w:r>
        <w:t>Mobiliario y equipo de administración</w:t>
      </w:r>
    </w:p>
    <w:p w:rsidR="00275749" w:rsidRDefault="00275749" w:rsidP="00275749">
      <w:pPr>
        <w:pStyle w:val="Prrafodelista"/>
        <w:numPr>
          <w:ilvl w:val="3"/>
          <w:numId w:val="3"/>
        </w:numPr>
      </w:pPr>
      <w:r>
        <w:t xml:space="preserve">Con un importe de $ </w:t>
      </w:r>
      <w:r w:rsidR="00123FA0">
        <w:t>2</w:t>
      </w:r>
      <w:r>
        <w:t>,</w:t>
      </w:r>
      <w:r w:rsidR="00123FA0">
        <w:t>119</w:t>
      </w:r>
      <w:r>
        <w:t>,</w:t>
      </w:r>
      <w:r w:rsidR="00123FA0">
        <w:t>766</w:t>
      </w:r>
      <w:r>
        <w:t>.</w:t>
      </w:r>
      <w:r w:rsidR="00123FA0">
        <w:t>17</w:t>
      </w:r>
      <w:r>
        <w:t>, integrado como sigue:</w:t>
      </w:r>
    </w:p>
    <w:p w:rsidR="00275749" w:rsidRDefault="004A6DC1" w:rsidP="00275749">
      <w:pPr>
        <w:pStyle w:val="Prrafodelista"/>
        <w:numPr>
          <w:ilvl w:val="4"/>
          <w:numId w:val="3"/>
        </w:numPr>
      </w:pPr>
      <w:r>
        <w:t>Mobiliario y equipo</w:t>
      </w:r>
      <w:r w:rsidR="00275749">
        <w:t xml:space="preserve">: $ </w:t>
      </w:r>
      <w:r w:rsidR="00123FA0">
        <w:t>1</w:t>
      </w:r>
      <w:r w:rsidR="00275749">
        <w:t>,</w:t>
      </w:r>
      <w:r w:rsidR="00123FA0">
        <w:t>384</w:t>
      </w:r>
      <w:r w:rsidR="00275749">
        <w:t>,</w:t>
      </w:r>
      <w:r w:rsidR="00123FA0">
        <w:t>732</w:t>
      </w:r>
      <w:r w:rsidR="00275749">
        <w:t>.</w:t>
      </w:r>
      <w:r w:rsidR="00123FA0">
        <w:t>68</w:t>
      </w:r>
    </w:p>
    <w:p w:rsidR="00275749" w:rsidRDefault="00273128" w:rsidP="00275749">
      <w:pPr>
        <w:pStyle w:val="Prrafodelista"/>
        <w:numPr>
          <w:ilvl w:val="4"/>
          <w:numId w:val="3"/>
        </w:numPr>
      </w:pPr>
      <w:r>
        <w:t>Equipo de cómputo</w:t>
      </w:r>
      <w:r w:rsidR="00275749">
        <w:t xml:space="preserve">: $ </w:t>
      </w:r>
      <w:r w:rsidR="00123FA0">
        <w:t>634</w:t>
      </w:r>
      <w:r w:rsidR="00275749">
        <w:t>,</w:t>
      </w:r>
      <w:r w:rsidR="00123FA0">
        <w:t>895</w:t>
      </w:r>
      <w:r w:rsidR="00275749">
        <w:t>.</w:t>
      </w:r>
      <w:r w:rsidR="00123FA0">
        <w:t>41</w:t>
      </w:r>
    </w:p>
    <w:p w:rsidR="00275749" w:rsidRDefault="00275749" w:rsidP="00275749">
      <w:pPr>
        <w:pStyle w:val="Prrafodelista"/>
        <w:numPr>
          <w:ilvl w:val="4"/>
          <w:numId w:val="3"/>
        </w:numPr>
      </w:pPr>
      <w:r>
        <w:t xml:space="preserve">Equipo de </w:t>
      </w:r>
      <w:r w:rsidR="00344C62">
        <w:t>audio y video</w:t>
      </w:r>
      <w:r>
        <w:t>: $ 8</w:t>
      </w:r>
      <w:r w:rsidR="008A1667">
        <w:t>0</w:t>
      </w:r>
      <w:r>
        <w:t>,</w:t>
      </w:r>
      <w:r w:rsidR="008A1667">
        <w:t>862</w:t>
      </w:r>
      <w:r>
        <w:t>.</w:t>
      </w:r>
      <w:r w:rsidR="008A1667">
        <w:t>92</w:t>
      </w:r>
    </w:p>
    <w:p w:rsidR="00DF0C1C" w:rsidRDefault="00DF0C1C" w:rsidP="00275749">
      <w:pPr>
        <w:pStyle w:val="Prrafodelista"/>
        <w:numPr>
          <w:ilvl w:val="4"/>
          <w:numId w:val="3"/>
        </w:numPr>
      </w:pPr>
      <w:r>
        <w:t>Cámaras fotográficas y de video: $ 19,275.16</w:t>
      </w:r>
    </w:p>
    <w:p w:rsidR="00275749" w:rsidRDefault="00275749" w:rsidP="00156F58">
      <w:pPr>
        <w:pStyle w:val="Prrafodelista"/>
        <w:numPr>
          <w:ilvl w:val="2"/>
          <w:numId w:val="3"/>
        </w:numPr>
      </w:pPr>
      <w:r>
        <w:t>Equipo de Transporte</w:t>
      </w:r>
    </w:p>
    <w:p w:rsidR="00275749" w:rsidRDefault="00275749" w:rsidP="00275749">
      <w:pPr>
        <w:pStyle w:val="Prrafodelista"/>
        <w:numPr>
          <w:ilvl w:val="3"/>
          <w:numId w:val="3"/>
        </w:numPr>
      </w:pPr>
      <w:r>
        <w:t>El Tribunal Electoral del Estado de Querétaro, a la fecha no cuenta con equipo de transporte propio.</w:t>
      </w:r>
    </w:p>
    <w:p w:rsidR="00A02F33" w:rsidRDefault="00A02F33" w:rsidP="00A02F33">
      <w:pPr>
        <w:pStyle w:val="Prrafodelista"/>
        <w:numPr>
          <w:ilvl w:val="0"/>
          <w:numId w:val="3"/>
        </w:numPr>
      </w:pPr>
      <w:r>
        <w:t>La depreciación acumulada y del mes se encuentra integrada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A6DC1" w:rsidTr="004A6DC1">
        <w:tc>
          <w:tcPr>
            <w:tcW w:w="2942" w:type="dxa"/>
          </w:tcPr>
          <w:p w:rsidR="004A6DC1" w:rsidRPr="004A6DC1" w:rsidRDefault="004A6DC1" w:rsidP="004A6DC1">
            <w:pPr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2943" w:type="dxa"/>
          </w:tcPr>
          <w:p w:rsidR="004A6DC1" w:rsidRPr="004A6DC1" w:rsidRDefault="004A6DC1" w:rsidP="004A6DC1">
            <w:pPr>
              <w:jc w:val="center"/>
              <w:rPr>
                <w:b/>
              </w:rPr>
            </w:pPr>
            <w:r w:rsidRPr="004A6DC1">
              <w:rPr>
                <w:b/>
              </w:rPr>
              <w:t>MENSUAL</w:t>
            </w:r>
          </w:p>
        </w:tc>
        <w:tc>
          <w:tcPr>
            <w:tcW w:w="2943" w:type="dxa"/>
          </w:tcPr>
          <w:p w:rsidR="004A6DC1" w:rsidRPr="004A6DC1" w:rsidRDefault="004A6DC1" w:rsidP="004A6DC1">
            <w:pPr>
              <w:jc w:val="center"/>
              <w:rPr>
                <w:b/>
              </w:rPr>
            </w:pPr>
            <w:r w:rsidRPr="004A6DC1">
              <w:rPr>
                <w:b/>
              </w:rPr>
              <w:t>ACUMULADA</w:t>
            </w:r>
          </w:p>
        </w:tc>
      </w:tr>
      <w:tr w:rsidR="004A6DC1" w:rsidTr="004A6DC1">
        <w:tc>
          <w:tcPr>
            <w:tcW w:w="2942" w:type="dxa"/>
          </w:tcPr>
          <w:p w:rsidR="004A6DC1" w:rsidRDefault="004A6DC1" w:rsidP="004A6DC1">
            <w:r>
              <w:t>Mobiliario y equipo</w:t>
            </w:r>
          </w:p>
        </w:tc>
        <w:tc>
          <w:tcPr>
            <w:tcW w:w="2943" w:type="dxa"/>
          </w:tcPr>
          <w:p w:rsidR="004A6DC1" w:rsidRPr="00683025" w:rsidRDefault="00C8759B" w:rsidP="0085479E">
            <w:pPr>
              <w:jc w:val="right"/>
            </w:pPr>
            <w:r>
              <w:t>11</w:t>
            </w:r>
            <w:r w:rsidR="008E7999" w:rsidRPr="00683025">
              <w:t>,</w:t>
            </w:r>
            <w:r>
              <w:t>562</w:t>
            </w:r>
            <w:r w:rsidR="008E7999" w:rsidRPr="00683025">
              <w:t>.</w:t>
            </w:r>
            <w:r>
              <w:t>16</w:t>
            </w:r>
          </w:p>
        </w:tc>
        <w:tc>
          <w:tcPr>
            <w:tcW w:w="2943" w:type="dxa"/>
          </w:tcPr>
          <w:p w:rsidR="004A6DC1" w:rsidRDefault="00867206" w:rsidP="0085479E">
            <w:pPr>
              <w:jc w:val="right"/>
            </w:pPr>
            <w:r>
              <w:t>383</w:t>
            </w:r>
            <w:r w:rsidR="0085479E">
              <w:t>,</w:t>
            </w:r>
            <w:r>
              <w:t>310</w:t>
            </w:r>
            <w:r w:rsidR="0085479E">
              <w:t>.</w:t>
            </w:r>
            <w:r>
              <w:t>48</w:t>
            </w:r>
          </w:p>
        </w:tc>
      </w:tr>
      <w:tr w:rsidR="004A6DC1" w:rsidTr="004A6DC1">
        <w:tc>
          <w:tcPr>
            <w:tcW w:w="2942" w:type="dxa"/>
          </w:tcPr>
          <w:p w:rsidR="004A6DC1" w:rsidRDefault="004A6DC1" w:rsidP="004A6DC1">
            <w:r>
              <w:t>Equipo de cómputo</w:t>
            </w:r>
          </w:p>
        </w:tc>
        <w:tc>
          <w:tcPr>
            <w:tcW w:w="2943" w:type="dxa"/>
          </w:tcPr>
          <w:p w:rsidR="004A6DC1" w:rsidRPr="00683025" w:rsidRDefault="00C8759B" w:rsidP="0085479E">
            <w:pPr>
              <w:jc w:val="right"/>
            </w:pPr>
            <w:r>
              <w:t>11</w:t>
            </w:r>
            <w:r w:rsidR="0085479E" w:rsidRPr="00683025">
              <w:t>,</w:t>
            </w:r>
            <w:r>
              <w:t>703</w:t>
            </w:r>
            <w:r w:rsidR="0085479E" w:rsidRPr="00683025">
              <w:t>.</w:t>
            </w:r>
            <w:r>
              <w:t>3</w:t>
            </w:r>
            <w:r w:rsidR="0085479E" w:rsidRPr="00683025">
              <w:t>5</w:t>
            </w:r>
          </w:p>
        </w:tc>
        <w:tc>
          <w:tcPr>
            <w:tcW w:w="2943" w:type="dxa"/>
          </w:tcPr>
          <w:p w:rsidR="004A6DC1" w:rsidRDefault="00867206" w:rsidP="0085479E">
            <w:pPr>
              <w:jc w:val="right"/>
            </w:pPr>
            <w:r>
              <w:t>350</w:t>
            </w:r>
            <w:r w:rsidR="00AC4585">
              <w:t>,</w:t>
            </w:r>
            <w:r>
              <w:t>151</w:t>
            </w:r>
            <w:r w:rsidR="00AC4585">
              <w:t>.</w:t>
            </w:r>
            <w:r>
              <w:t>21</w:t>
            </w:r>
          </w:p>
        </w:tc>
      </w:tr>
      <w:tr w:rsidR="004A6DC1" w:rsidTr="004A6DC1">
        <w:tc>
          <w:tcPr>
            <w:tcW w:w="2942" w:type="dxa"/>
          </w:tcPr>
          <w:p w:rsidR="004A6DC1" w:rsidRDefault="004A6DC1" w:rsidP="004A6DC1">
            <w:r>
              <w:t>Equipo de audio y video</w:t>
            </w:r>
          </w:p>
        </w:tc>
        <w:tc>
          <w:tcPr>
            <w:tcW w:w="2943" w:type="dxa"/>
          </w:tcPr>
          <w:p w:rsidR="004A6DC1" w:rsidRPr="00683025" w:rsidRDefault="00C8759B" w:rsidP="0085479E">
            <w:pPr>
              <w:jc w:val="right"/>
            </w:pPr>
            <w:r>
              <w:t>2</w:t>
            </w:r>
            <w:r w:rsidR="0085479E" w:rsidRPr="00683025">
              <w:t>,</w:t>
            </w:r>
            <w:r>
              <w:t>427</w:t>
            </w:r>
            <w:r w:rsidR="0085479E" w:rsidRPr="00683025">
              <w:t>.</w:t>
            </w:r>
            <w:r>
              <w:t>97</w:t>
            </w:r>
          </w:p>
        </w:tc>
        <w:tc>
          <w:tcPr>
            <w:tcW w:w="2943" w:type="dxa"/>
          </w:tcPr>
          <w:p w:rsidR="004A6DC1" w:rsidRDefault="00867206" w:rsidP="0085479E">
            <w:pPr>
              <w:jc w:val="right"/>
            </w:pPr>
            <w:r>
              <w:t>73</w:t>
            </w:r>
            <w:r w:rsidR="00AC4585">
              <w:t>,</w:t>
            </w:r>
            <w:r>
              <w:t>596</w:t>
            </w:r>
            <w:r w:rsidR="00AC4585">
              <w:t>.</w:t>
            </w:r>
            <w:r>
              <w:t>80</w:t>
            </w:r>
          </w:p>
        </w:tc>
      </w:tr>
      <w:tr w:rsidR="004A6DC1" w:rsidTr="004A6DC1">
        <w:tc>
          <w:tcPr>
            <w:tcW w:w="2942" w:type="dxa"/>
          </w:tcPr>
          <w:p w:rsidR="004A6DC1" w:rsidRDefault="004A6DC1" w:rsidP="004A6DC1"/>
        </w:tc>
        <w:tc>
          <w:tcPr>
            <w:tcW w:w="2943" w:type="dxa"/>
          </w:tcPr>
          <w:p w:rsidR="004A6DC1" w:rsidRPr="00683025" w:rsidRDefault="00C8759B" w:rsidP="0085479E">
            <w:pPr>
              <w:jc w:val="right"/>
            </w:pPr>
            <w:r>
              <w:t>25</w:t>
            </w:r>
            <w:r w:rsidR="0085479E" w:rsidRPr="00683025">
              <w:t>,</w:t>
            </w:r>
            <w:r>
              <w:t>693</w:t>
            </w:r>
            <w:r w:rsidR="0085479E" w:rsidRPr="00683025">
              <w:t>.</w:t>
            </w:r>
            <w:r>
              <w:t>48</w:t>
            </w:r>
          </w:p>
        </w:tc>
        <w:tc>
          <w:tcPr>
            <w:tcW w:w="2943" w:type="dxa"/>
          </w:tcPr>
          <w:p w:rsidR="004A6DC1" w:rsidRDefault="00867206" w:rsidP="0085479E">
            <w:pPr>
              <w:jc w:val="right"/>
            </w:pPr>
            <w:r>
              <w:t>807</w:t>
            </w:r>
            <w:r w:rsidR="00AC4585">
              <w:t>,</w:t>
            </w:r>
            <w:r>
              <w:t>058</w:t>
            </w:r>
            <w:r w:rsidR="00AC4585">
              <w:t>.</w:t>
            </w:r>
            <w:r>
              <w:t>49</w:t>
            </w:r>
          </w:p>
        </w:tc>
      </w:tr>
    </w:tbl>
    <w:p w:rsidR="004A6DC1" w:rsidRDefault="004A6DC1" w:rsidP="004A6DC1"/>
    <w:p w:rsidR="00FE01A0" w:rsidRDefault="001D7C62" w:rsidP="001D7C62">
      <w:pPr>
        <w:jc w:val="both"/>
      </w:pPr>
      <w:r>
        <w:t>La depreciación se calcula mediante el método de línea recta a partir del mes siguiente de la adquisición aplicando las tazas aprobadas en el Manual Único de Contabilidad Gubernamental: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32"/>
        <w:gridCol w:w="3132"/>
      </w:tblGrid>
      <w:tr w:rsidR="00FE01A0" w:rsidTr="00610622">
        <w:trPr>
          <w:trHeight w:val="261"/>
          <w:jc w:val="center"/>
        </w:trPr>
        <w:tc>
          <w:tcPr>
            <w:tcW w:w="3132" w:type="dxa"/>
          </w:tcPr>
          <w:p w:rsidR="00FE01A0" w:rsidRPr="00FE01A0" w:rsidRDefault="00FE01A0" w:rsidP="00FE01A0">
            <w:pPr>
              <w:jc w:val="center"/>
              <w:rPr>
                <w:b/>
              </w:rPr>
            </w:pPr>
            <w:r w:rsidRPr="00FE01A0">
              <w:rPr>
                <w:b/>
              </w:rPr>
              <w:lastRenderedPageBreak/>
              <w:t>BIENES</w:t>
            </w:r>
          </w:p>
        </w:tc>
        <w:tc>
          <w:tcPr>
            <w:tcW w:w="3132" w:type="dxa"/>
          </w:tcPr>
          <w:p w:rsidR="00FE01A0" w:rsidRPr="00FE01A0" w:rsidRDefault="00FE01A0" w:rsidP="00FE01A0">
            <w:pPr>
              <w:jc w:val="center"/>
              <w:rPr>
                <w:b/>
              </w:rPr>
            </w:pPr>
            <w:r w:rsidRPr="00FE01A0">
              <w:rPr>
                <w:b/>
              </w:rPr>
              <w:t>PORCENTAJE</w:t>
            </w:r>
          </w:p>
        </w:tc>
      </w:tr>
      <w:tr w:rsidR="00FE01A0" w:rsidTr="00610622">
        <w:trPr>
          <w:trHeight w:val="247"/>
          <w:jc w:val="center"/>
        </w:trPr>
        <w:tc>
          <w:tcPr>
            <w:tcW w:w="3132" w:type="dxa"/>
          </w:tcPr>
          <w:p w:rsidR="00FE01A0" w:rsidRDefault="00FE01A0" w:rsidP="00FE01A0">
            <w:r>
              <w:t>Vehículos</w:t>
            </w:r>
          </w:p>
        </w:tc>
        <w:tc>
          <w:tcPr>
            <w:tcW w:w="3132" w:type="dxa"/>
          </w:tcPr>
          <w:p w:rsidR="00FE01A0" w:rsidRDefault="00FE01A0" w:rsidP="00FE01A0">
            <w:pPr>
              <w:jc w:val="center"/>
            </w:pPr>
            <w:r>
              <w:t>10%</w:t>
            </w:r>
          </w:p>
        </w:tc>
      </w:tr>
      <w:tr w:rsidR="00FE01A0" w:rsidTr="00610622">
        <w:trPr>
          <w:trHeight w:val="261"/>
          <w:jc w:val="center"/>
        </w:trPr>
        <w:tc>
          <w:tcPr>
            <w:tcW w:w="3132" w:type="dxa"/>
          </w:tcPr>
          <w:p w:rsidR="00FE01A0" w:rsidRDefault="00FE01A0" w:rsidP="00FE01A0">
            <w:r>
              <w:t>Equipo de cómputo</w:t>
            </w:r>
          </w:p>
        </w:tc>
        <w:tc>
          <w:tcPr>
            <w:tcW w:w="3132" w:type="dxa"/>
          </w:tcPr>
          <w:p w:rsidR="00FE01A0" w:rsidRDefault="00FE01A0" w:rsidP="00FE01A0">
            <w:pPr>
              <w:jc w:val="center"/>
            </w:pPr>
            <w:r>
              <w:t>20%</w:t>
            </w:r>
          </w:p>
        </w:tc>
      </w:tr>
      <w:tr w:rsidR="00610622" w:rsidTr="00610622">
        <w:trPr>
          <w:trHeight w:val="261"/>
          <w:jc w:val="center"/>
        </w:trPr>
        <w:tc>
          <w:tcPr>
            <w:tcW w:w="3132" w:type="dxa"/>
          </w:tcPr>
          <w:p w:rsidR="00610622" w:rsidRDefault="00610622" w:rsidP="00FE01A0">
            <w:r>
              <w:t>Mobiliario y equipo de oficina</w:t>
            </w:r>
          </w:p>
        </w:tc>
        <w:tc>
          <w:tcPr>
            <w:tcW w:w="3132" w:type="dxa"/>
          </w:tcPr>
          <w:p w:rsidR="00610622" w:rsidRDefault="00610622" w:rsidP="00FE01A0">
            <w:pPr>
              <w:jc w:val="center"/>
            </w:pPr>
            <w:r>
              <w:t>3%</w:t>
            </w:r>
          </w:p>
        </w:tc>
      </w:tr>
      <w:tr w:rsidR="00FE01A0" w:rsidTr="00610622">
        <w:trPr>
          <w:trHeight w:val="247"/>
          <w:jc w:val="center"/>
        </w:trPr>
        <w:tc>
          <w:tcPr>
            <w:tcW w:w="3132" w:type="dxa"/>
          </w:tcPr>
          <w:p w:rsidR="00FE01A0" w:rsidRDefault="00FE01A0" w:rsidP="00FE01A0">
            <w:r>
              <w:t>Edificios</w:t>
            </w:r>
          </w:p>
        </w:tc>
        <w:tc>
          <w:tcPr>
            <w:tcW w:w="3132" w:type="dxa"/>
          </w:tcPr>
          <w:p w:rsidR="00FE01A0" w:rsidRDefault="00FE01A0" w:rsidP="00FE01A0">
            <w:pPr>
              <w:jc w:val="center"/>
            </w:pPr>
            <w:r>
              <w:t>2%</w:t>
            </w:r>
          </w:p>
        </w:tc>
      </w:tr>
      <w:tr w:rsidR="00FE01A0" w:rsidTr="00610622">
        <w:trPr>
          <w:trHeight w:val="261"/>
          <w:jc w:val="center"/>
        </w:trPr>
        <w:tc>
          <w:tcPr>
            <w:tcW w:w="3132" w:type="dxa"/>
          </w:tcPr>
          <w:p w:rsidR="00FE01A0" w:rsidRDefault="00FE01A0" w:rsidP="00FE01A0">
            <w:r>
              <w:t>Maquinaria</w:t>
            </w:r>
          </w:p>
        </w:tc>
        <w:tc>
          <w:tcPr>
            <w:tcW w:w="3132" w:type="dxa"/>
          </w:tcPr>
          <w:p w:rsidR="00FE01A0" w:rsidRDefault="00FE01A0" w:rsidP="00FE01A0">
            <w:pPr>
              <w:jc w:val="center"/>
            </w:pPr>
            <w:r>
              <w:t>10%</w:t>
            </w:r>
          </w:p>
        </w:tc>
      </w:tr>
      <w:tr w:rsidR="00FE01A0" w:rsidTr="00610622">
        <w:trPr>
          <w:trHeight w:val="247"/>
          <w:jc w:val="center"/>
        </w:trPr>
        <w:tc>
          <w:tcPr>
            <w:tcW w:w="3132" w:type="dxa"/>
          </w:tcPr>
          <w:p w:rsidR="00FE01A0" w:rsidRDefault="00FE01A0" w:rsidP="00FE01A0">
            <w:r>
              <w:t>El resto</w:t>
            </w:r>
          </w:p>
        </w:tc>
        <w:tc>
          <w:tcPr>
            <w:tcW w:w="3132" w:type="dxa"/>
          </w:tcPr>
          <w:p w:rsidR="00FE01A0" w:rsidRDefault="00FE01A0" w:rsidP="00FE01A0">
            <w:pPr>
              <w:jc w:val="center"/>
            </w:pPr>
            <w:r>
              <w:t>10%</w:t>
            </w:r>
          </w:p>
        </w:tc>
      </w:tr>
    </w:tbl>
    <w:p w:rsidR="00FE01A0" w:rsidRDefault="00FE01A0" w:rsidP="00FE01A0"/>
    <w:p w:rsidR="00853A77" w:rsidRDefault="00853A77" w:rsidP="00FE01A0">
      <w:pPr>
        <w:rPr>
          <w:b/>
        </w:rPr>
      </w:pPr>
      <w:r w:rsidRPr="00853A77">
        <w:rPr>
          <w:b/>
        </w:rPr>
        <w:t>PASIVO</w:t>
      </w:r>
    </w:p>
    <w:p w:rsidR="00853A77" w:rsidRDefault="00853A77" w:rsidP="00FE01A0">
      <w:pPr>
        <w:rPr>
          <w:b/>
        </w:rPr>
      </w:pPr>
      <w:r>
        <w:rPr>
          <w:b/>
        </w:rPr>
        <w:t>Cuentas y documentos por pagar a corto plazo</w:t>
      </w:r>
    </w:p>
    <w:p w:rsidR="00853A77" w:rsidRDefault="00853A77" w:rsidP="00FE01A0">
      <w:r>
        <w:rPr>
          <w:b/>
        </w:rPr>
        <w:tab/>
      </w:r>
      <w:r>
        <w:t>Los saldos se encuentran integrados de la siguiente manera:</w:t>
      </w:r>
    </w:p>
    <w:p w:rsidR="00853A77" w:rsidRDefault="00853A77" w:rsidP="00FE01A0">
      <w:r>
        <w:tab/>
      </w:r>
      <w:r w:rsidR="0085479E">
        <w:t>Proveedores por pagar a corto plazo: $ 0.00</w:t>
      </w:r>
    </w:p>
    <w:p w:rsidR="003540F0" w:rsidRDefault="0085479E" w:rsidP="00FE01A0">
      <w:r>
        <w:tab/>
        <w:t xml:space="preserve">Retenciones y contribuciones por pagar a corto plazo: $ </w:t>
      </w:r>
      <w:r w:rsidR="007B769C">
        <w:t>133</w:t>
      </w:r>
      <w:r w:rsidR="0013598A">
        <w:t>,</w:t>
      </w:r>
      <w:r w:rsidR="007B769C">
        <w:t>257</w:t>
      </w:r>
      <w:r w:rsidR="0013598A">
        <w:t>.</w:t>
      </w:r>
      <w:r w:rsidR="007B769C">
        <w:t>35</w:t>
      </w:r>
    </w:p>
    <w:p w:rsidR="00853A77" w:rsidRDefault="00853A77" w:rsidP="00FE01A0">
      <w:pPr>
        <w:rPr>
          <w:b/>
        </w:rPr>
      </w:pPr>
      <w:r>
        <w:rPr>
          <w:b/>
        </w:rPr>
        <w:t>Impuestos retenidos por pagar</w:t>
      </w:r>
    </w:p>
    <w:p w:rsidR="00853A77" w:rsidRDefault="00853A77" w:rsidP="00FE01A0">
      <w:r>
        <w:rPr>
          <w:b/>
        </w:rPr>
        <w:tab/>
      </w:r>
      <w:r>
        <w:t>Los importes que se encuentran registrados para cada rubro son los siguientes:</w:t>
      </w:r>
    </w:p>
    <w:p w:rsidR="00853A77" w:rsidRDefault="00853A77" w:rsidP="00FE01A0">
      <w:r>
        <w:tab/>
      </w:r>
      <w:r w:rsidR="003540F0">
        <w:t xml:space="preserve">ISR Sueldos: $ </w:t>
      </w:r>
      <w:r w:rsidR="008608C5">
        <w:t>0.00</w:t>
      </w:r>
    </w:p>
    <w:p w:rsidR="003540F0" w:rsidRDefault="003540F0" w:rsidP="00FE01A0">
      <w:r>
        <w:tab/>
        <w:t xml:space="preserve">ISR Arrendamientos $ </w:t>
      </w:r>
      <w:r w:rsidR="008608C5">
        <w:t>0.00</w:t>
      </w:r>
    </w:p>
    <w:p w:rsidR="00853A77" w:rsidRDefault="00853A77" w:rsidP="00FE01A0">
      <w:pPr>
        <w:rPr>
          <w:b/>
        </w:rPr>
      </w:pPr>
      <w:r>
        <w:rPr>
          <w:b/>
        </w:rPr>
        <w:t>Otras cuentas por pagar a corto plazo</w:t>
      </w:r>
    </w:p>
    <w:p w:rsidR="00853A77" w:rsidRDefault="00853A77" w:rsidP="00FE01A0">
      <w:r>
        <w:rPr>
          <w:b/>
        </w:rPr>
        <w:tab/>
      </w:r>
      <w:r w:rsidR="003540F0">
        <w:t>Sin otras cuentas por pagar a corto plazo.</w:t>
      </w:r>
    </w:p>
    <w:p w:rsidR="00B67DB6" w:rsidRDefault="00B67DB6" w:rsidP="00FE01A0">
      <w:pPr>
        <w:rPr>
          <w:b/>
        </w:rPr>
      </w:pPr>
      <w:r>
        <w:rPr>
          <w:b/>
        </w:rPr>
        <w:t>Pasivos Diferidos</w:t>
      </w:r>
    </w:p>
    <w:p w:rsidR="00853A77" w:rsidRPr="00853A77" w:rsidRDefault="00B67DB6" w:rsidP="00FE01A0">
      <w:r>
        <w:rPr>
          <w:b/>
        </w:rPr>
        <w:tab/>
      </w:r>
      <w:r>
        <w:t>Sin pasivos diferidos.</w:t>
      </w:r>
    </w:p>
    <w:p w:rsidR="00FE01A0" w:rsidRPr="00A02F33" w:rsidRDefault="00FE01A0" w:rsidP="00FE01A0"/>
    <w:p w:rsidR="00A02F33" w:rsidRDefault="00A02F33" w:rsidP="00A02F33">
      <w:pPr>
        <w:pStyle w:val="Prrafodelista"/>
        <w:numPr>
          <w:ilvl w:val="0"/>
          <w:numId w:val="2"/>
        </w:numPr>
        <w:rPr>
          <w:u w:val="single"/>
        </w:rPr>
      </w:pPr>
      <w:r>
        <w:rPr>
          <w:u w:val="single"/>
        </w:rPr>
        <w:t>ESTADO DE ACTIVIDADES</w:t>
      </w:r>
    </w:p>
    <w:p w:rsidR="00E736B9" w:rsidRPr="00E736B9" w:rsidRDefault="00E736B9" w:rsidP="00E736B9">
      <w:pPr>
        <w:rPr>
          <w:b/>
        </w:rPr>
      </w:pPr>
      <w:r w:rsidRPr="00E736B9">
        <w:rPr>
          <w:b/>
        </w:rPr>
        <w:t>Ingresos de gestión</w:t>
      </w:r>
    </w:p>
    <w:p w:rsidR="00E736B9" w:rsidRDefault="00E736B9" w:rsidP="00E736B9">
      <w:pPr>
        <w:jc w:val="both"/>
      </w:pPr>
      <w:r w:rsidRPr="00345D9F">
        <w:t xml:space="preserve">Los ingresos autorizados al Tribunal Electoral del Estado de Querétaro para el ejercicio 2017 ascienden a $ </w:t>
      </w:r>
      <w:r w:rsidR="00345D9F" w:rsidRPr="00345D9F">
        <w:t>22</w:t>
      </w:r>
      <w:r w:rsidRPr="00345D9F">
        <w:t>,</w:t>
      </w:r>
      <w:r w:rsidR="00345D9F" w:rsidRPr="00345D9F">
        <w:t>601</w:t>
      </w:r>
      <w:r w:rsidRPr="00345D9F">
        <w:t>,397.00, de conformidad con lo establecido en el artículo 10 del Decreto de Presupuesto de Egresos del Estado de Querétaro, para el Ejercicio Fiscal 2017.</w:t>
      </w:r>
      <w:r w:rsidR="00D12F95">
        <w:t xml:space="preserve"> Se recibe la recuperación del pago en exceso por 40,295.36 el día 11 de julio de 2017 y c</w:t>
      </w:r>
      <w:r w:rsidR="00345D9F" w:rsidRPr="00345D9F">
        <w:t>on fecha 29 de noviembre, se recibió una ampliación por $ 1,850,000.00 dando un total de ingresos en el ejercicio por $ 24,4</w:t>
      </w:r>
      <w:r w:rsidR="0071678B">
        <w:t>9</w:t>
      </w:r>
      <w:r w:rsidR="00345D9F" w:rsidRPr="00345D9F">
        <w:t>1,</w:t>
      </w:r>
      <w:r w:rsidR="0071678B">
        <w:t>692</w:t>
      </w:r>
      <w:r w:rsidR="00345D9F" w:rsidRPr="00345D9F">
        <w:t>.</w:t>
      </w:r>
      <w:r w:rsidR="0071678B">
        <w:t>36</w:t>
      </w:r>
      <w:r w:rsidR="00345D9F" w:rsidRPr="00345D9F">
        <w:t>.</w:t>
      </w:r>
      <w:r w:rsidR="00ED101F">
        <w:t xml:space="preserve"> </w:t>
      </w:r>
    </w:p>
    <w:p w:rsidR="00FD25EC" w:rsidRDefault="00FD25EC" w:rsidP="00FD25EC">
      <w:pPr>
        <w:rPr>
          <w:b/>
        </w:rPr>
      </w:pPr>
      <w:r>
        <w:rPr>
          <w:b/>
        </w:rPr>
        <w:t>Gastos y otras pérdidas</w:t>
      </w:r>
    </w:p>
    <w:p w:rsidR="00FD25EC" w:rsidRDefault="00FD25EC" w:rsidP="00FD25EC">
      <w:pPr>
        <w:jc w:val="both"/>
      </w:pPr>
      <w:r>
        <w:t xml:space="preserve">Los egresos del Tribunal son regulados a través de procedimientos de adquisiciones, arrendamientos y contrataciones de servicios, los cuales ascendieron a $ </w:t>
      </w:r>
      <w:r w:rsidR="006764B2">
        <w:t>24</w:t>
      </w:r>
      <w:r>
        <w:t>,</w:t>
      </w:r>
      <w:r w:rsidR="005F76FD">
        <w:t>489</w:t>
      </w:r>
      <w:r>
        <w:t>,</w:t>
      </w:r>
      <w:r w:rsidR="005F76FD">
        <w:t>821</w:t>
      </w:r>
      <w:r>
        <w:t>.</w:t>
      </w:r>
      <w:r w:rsidR="005F76FD">
        <w:t>72</w:t>
      </w:r>
      <w:r>
        <w:t xml:space="preserve"> y están integrados de la siguiente manera:</w:t>
      </w:r>
    </w:p>
    <w:p w:rsidR="00A754CA" w:rsidRDefault="00A754CA" w:rsidP="00FD25EC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170"/>
      </w:tblGrid>
      <w:tr w:rsidR="00FD25EC" w:rsidTr="00547845">
        <w:tc>
          <w:tcPr>
            <w:tcW w:w="1271" w:type="dxa"/>
          </w:tcPr>
          <w:p w:rsidR="00FD25EC" w:rsidRPr="000D113F" w:rsidRDefault="00FD25EC" w:rsidP="00547845">
            <w:pPr>
              <w:jc w:val="center"/>
              <w:rPr>
                <w:b/>
              </w:rPr>
            </w:pPr>
            <w:r w:rsidRPr="000D113F">
              <w:rPr>
                <w:b/>
              </w:rPr>
              <w:t>CAPÍTULO</w:t>
            </w:r>
          </w:p>
        </w:tc>
        <w:tc>
          <w:tcPr>
            <w:tcW w:w="5387" w:type="dxa"/>
          </w:tcPr>
          <w:p w:rsidR="00FD25EC" w:rsidRPr="000D113F" w:rsidRDefault="00FD25EC" w:rsidP="00547845">
            <w:pPr>
              <w:jc w:val="center"/>
              <w:rPr>
                <w:b/>
              </w:rPr>
            </w:pPr>
            <w:r w:rsidRPr="000D113F">
              <w:rPr>
                <w:b/>
              </w:rPr>
              <w:t>NOMBRE</w:t>
            </w:r>
          </w:p>
        </w:tc>
        <w:tc>
          <w:tcPr>
            <w:tcW w:w="2170" w:type="dxa"/>
          </w:tcPr>
          <w:p w:rsidR="00FD25EC" w:rsidRPr="000D113F" w:rsidRDefault="00FD25EC" w:rsidP="00547845">
            <w:pPr>
              <w:jc w:val="center"/>
              <w:rPr>
                <w:b/>
              </w:rPr>
            </w:pPr>
            <w:r w:rsidRPr="000D113F">
              <w:rPr>
                <w:b/>
              </w:rPr>
              <w:t>MONTO</w:t>
            </w:r>
          </w:p>
        </w:tc>
      </w:tr>
      <w:tr w:rsidR="00FD25EC" w:rsidTr="00547845">
        <w:tc>
          <w:tcPr>
            <w:tcW w:w="1271" w:type="dxa"/>
          </w:tcPr>
          <w:p w:rsidR="00FD25EC" w:rsidRDefault="00FD25EC" w:rsidP="00547845">
            <w:pPr>
              <w:jc w:val="center"/>
            </w:pPr>
            <w:r>
              <w:t>1000</w:t>
            </w:r>
          </w:p>
        </w:tc>
        <w:tc>
          <w:tcPr>
            <w:tcW w:w="5387" w:type="dxa"/>
          </w:tcPr>
          <w:p w:rsidR="00FD25EC" w:rsidRDefault="00FD25EC" w:rsidP="00547845">
            <w:r>
              <w:t>Servicios personales</w:t>
            </w:r>
          </w:p>
        </w:tc>
        <w:tc>
          <w:tcPr>
            <w:tcW w:w="2170" w:type="dxa"/>
          </w:tcPr>
          <w:p w:rsidR="00FD25EC" w:rsidRDefault="00FD25EC" w:rsidP="00547845">
            <w:pPr>
              <w:jc w:val="right"/>
            </w:pPr>
            <w:r>
              <w:t xml:space="preserve">$ </w:t>
            </w:r>
            <w:r w:rsidR="008608C5">
              <w:t>22</w:t>
            </w:r>
            <w:r w:rsidR="00BA0D41">
              <w:t>,</w:t>
            </w:r>
            <w:r w:rsidR="008608C5">
              <w:t>217</w:t>
            </w:r>
            <w:r w:rsidR="00BA0D41">
              <w:t>,</w:t>
            </w:r>
            <w:r w:rsidR="008608C5">
              <w:t>036</w:t>
            </w:r>
            <w:r w:rsidR="00BA0D41">
              <w:t>.</w:t>
            </w:r>
            <w:r w:rsidR="008608C5">
              <w:t>62</w:t>
            </w:r>
          </w:p>
        </w:tc>
      </w:tr>
      <w:tr w:rsidR="00FD25EC" w:rsidTr="00547845">
        <w:tc>
          <w:tcPr>
            <w:tcW w:w="1271" w:type="dxa"/>
          </w:tcPr>
          <w:p w:rsidR="00FD25EC" w:rsidRDefault="00FD25EC" w:rsidP="00547845">
            <w:pPr>
              <w:jc w:val="center"/>
            </w:pPr>
            <w:r>
              <w:t>2000</w:t>
            </w:r>
          </w:p>
        </w:tc>
        <w:tc>
          <w:tcPr>
            <w:tcW w:w="5387" w:type="dxa"/>
          </w:tcPr>
          <w:p w:rsidR="00FD25EC" w:rsidRDefault="00FD25EC" w:rsidP="00547845">
            <w:r>
              <w:t>Materiales y suministros</w:t>
            </w:r>
          </w:p>
        </w:tc>
        <w:tc>
          <w:tcPr>
            <w:tcW w:w="2170" w:type="dxa"/>
          </w:tcPr>
          <w:p w:rsidR="00FD25EC" w:rsidRDefault="00FD25EC" w:rsidP="00547845">
            <w:pPr>
              <w:jc w:val="right"/>
            </w:pPr>
            <w:r>
              <w:t xml:space="preserve">$ </w:t>
            </w:r>
            <w:r w:rsidR="008608C5">
              <w:t>12</w:t>
            </w:r>
            <w:r w:rsidR="00BA0D41">
              <w:t>9,0</w:t>
            </w:r>
            <w:r w:rsidR="008608C5">
              <w:t>17</w:t>
            </w:r>
            <w:r w:rsidR="00BA0D41">
              <w:t>.</w:t>
            </w:r>
            <w:r w:rsidR="008608C5">
              <w:t>44</w:t>
            </w:r>
          </w:p>
        </w:tc>
      </w:tr>
      <w:tr w:rsidR="00FD25EC" w:rsidTr="00547845">
        <w:tc>
          <w:tcPr>
            <w:tcW w:w="1271" w:type="dxa"/>
          </w:tcPr>
          <w:p w:rsidR="00FD25EC" w:rsidRDefault="00FD25EC" w:rsidP="00547845">
            <w:pPr>
              <w:jc w:val="center"/>
            </w:pPr>
            <w:r>
              <w:t>3000</w:t>
            </w:r>
          </w:p>
        </w:tc>
        <w:tc>
          <w:tcPr>
            <w:tcW w:w="5387" w:type="dxa"/>
          </w:tcPr>
          <w:p w:rsidR="00FD25EC" w:rsidRDefault="00FD25EC" w:rsidP="00547845">
            <w:r>
              <w:t>Servicios generales</w:t>
            </w:r>
          </w:p>
        </w:tc>
        <w:tc>
          <w:tcPr>
            <w:tcW w:w="2170" w:type="dxa"/>
          </w:tcPr>
          <w:p w:rsidR="00FD25EC" w:rsidRDefault="00FD25EC" w:rsidP="00547845">
            <w:pPr>
              <w:jc w:val="right"/>
            </w:pPr>
            <w:r>
              <w:t xml:space="preserve">$ </w:t>
            </w:r>
            <w:r w:rsidR="00BA0D41">
              <w:t>1,</w:t>
            </w:r>
            <w:r w:rsidR="008608C5">
              <w:t>845</w:t>
            </w:r>
            <w:r w:rsidR="00BA0D41">
              <w:t>,</w:t>
            </w:r>
            <w:r w:rsidR="008608C5">
              <w:t>135</w:t>
            </w:r>
            <w:r w:rsidR="00BA0D41">
              <w:t>.</w:t>
            </w:r>
            <w:r w:rsidR="008608C5">
              <w:t>36</w:t>
            </w:r>
          </w:p>
        </w:tc>
      </w:tr>
      <w:tr w:rsidR="00FD25EC" w:rsidTr="00547845">
        <w:tc>
          <w:tcPr>
            <w:tcW w:w="1271" w:type="dxa"/>
          </w:tcPr>
          <w:p w:rsidR="00FD25EC" w:rsidRDefault="00FD25EC" w:rsidP="00547845">
            <w:pPr>
              <w:jc w:val="center"/>
            </w:pPr>
            <w:r>
              <w:t>4000</w:t>
            </w:r>
          </w:p>
        </w:tc>
        <w:tc>
          <w:tcPr>
            <w:tcW w:w="5387" w:type="dxa"/>
          </w:tcPr>
          <w:p w:rsidR="00FD25EC" w:rsidRDefault="00FD25EC" w:rsidP="00547845">
            <w:r>
              <w:t>Transferencias, asignaciones, subsidios y otras ayudas</w:t>
            </w:r>
          </w:p>
        </w:tc>
        <w:tc>
          <w:tcPr>
            <w:tcW w:w="2170" w:type="dxa"/>
          </w:tcPr>
          <w:p w:rsidR="00FD25EC" w:rsidRDefault="00FD25EC" w:rsidP="00547845">
            <w:pPr>
              <w:jc w:val="right"/>
            </w:pPr>
            <w:r>
              <w:t>$ 0.00</w:t>
            </w:r>
          </w:p>
        </w:tc>
      </w:tr>
      <w:tr w:rsidR="00FD25EC" w:rsidTr="00547845">
        <w:tc>
          <w:tcPr>
            <w:tcW w:w="1271" w:type="dxa"/>
          </w:tcPr>
          <w:p w:rsidR="00FD25EC" w:rsidRDefault="00FD25EC" w:rsidP="00547845">
            <w:pPr>
              <w:jc w:val="center"/>
            </w:pPr>
            <w:r>
              <w:t>5000</w:t>
            </w:r>
          </w:p>
        </w:tc>
        <w:tc>
          <w:tcPr>
            <w:tcW w:w="5387" w:type="dxa"/>
          </w:tcPr>
          <w:p w:rsidR="00FD25EC" w:rsidRDefault="00FD25EC" w:rsidP="00547845">
            <w:r>
              <w:t>Bienes muebles, inmuebles e intangibles</w:t>
            </w:r>
          </w:p>
        </w:tc>
        <w:tc>
          <w:tcPr>
            <w:tcW w:w="2170" w:type="dxa"/>
          </w:tcPr>
          <w:p w:rsidR="00FD25EC" w:rsidRDefault="00FD25EC" w:rsidP="00547845">
            <w:pPr>
              <w:jc w:val="right"/>
            </w:pPr>
            <w:r>
              <w:t xml:space="preserve">$ </w:t>
            </w:r>
            <w:r w:rsidR="00EF6D70">
              <w:t>298,632</w:t>
            </w:r>
            <w:r>
              <w:t>.</w:t>
            </w:r>
            <w:r w:rsidR="00EF6D70">
              <w:t>30</w:t>
            </w:r>
          </w:p>
        </w:tc>
      </w:tr>
      <w:tr w:rsidR="00FD25EC" w:rsidTr="00547845">
        <w:tc>
          <w:tcPr>
            <w:tcW w:w="1271" w:type="dxa"/>
          </w:tcPr>
          <w:p w:rsidR="00FD25EC" w:rsidRDefault="00FD25EC" w:rsidP="00547845">
            <w:pPr>
              <w:jc w:val="center"/>
            </w:pPr>
            <w:r>
              <w:t>9000</w:t>
            </w:r>
          </w:p>
        </w:tc>
        <w:tc>
          <w:tcPr>
            <w:tcW w:w="5387" w:type="dxa"/>
          </w:tcPr>
          <w:p w:rsidR="00FD25EC" w:rsidRDefault="00FD25EC" w:rsidP="00547845">
            <w:r>
              <w:t>Deuda pública</w:t>
            </w:r>
          </w:p>
        </w:tc>
        <w:tc>
          <w:tcPr>
            <w:tcW w:w="2170" w:type="dxa"/>
          </w:tcPr>
          <w:p w:rsidR="00FD25EC" w:rsidRDefault="00FD25EC" w:rsidP="00547845">
            <w:pPr>
              <w:jc w:val="right"/>
            </w:pPr>
            <w:r>
              <w:t>$ 0.00</w:t>
            </w:r>
          </w:p>
        </w:tc>
      </w:tr>
      <w:tr w:rsidR="00FD25EC" w:rsidTr="00547845">
        <w:tc>
          <w:tcPr>
            <w:tcW w:w="1271" w:type="dxa"/>
          </w:tcPr>
          <w:p w:rsidR="00FD25EC" w:rsidRDefault="00FD25EC" w:rsidP="00547845"/>
        </w:tc>
        <w:tc>
          <w:tcPr>
            <w:tcW w:w="5387" w:type="dxa"/>
          </w:tcPr>
          <w:p w:rsidR="00FD25EC" w:rsidRPr="005F78AB" w:rsidRDefault="00547845" w:rsidP="00547845">
            <w:pPr>
              <w:rPr>
                <w:b/>
              </w:rPr>
            </w:pPr>
            <w:proofErr w:type="gramStart"/>
            <w:r w:rsidRPr="005F78AB">
              <w:rPr>
                <w:b/>
              </w:rPr>
              <w:t>TOTAL</w:t>
            </w:r>
            <w:proofErr w:type="gramEnd"/>
            <w:r w:rsidRPr="005F78AB">
              <w:rPr>
                <w:b/>
              </w:rPr>
              <w:t xml:space="preserve"> </w:t>
            </w:r>
            <w:r w:rsidR="00FD25EC" w:rsidRPr="005F78AB">
              <w:rPr>
                <w:b/>
              </w:rPr>
              <w:t xml:space="preserve">EJERCIDO AL CIERRE DEL MES DE </w:t>
            </w:r>
            <w:r w:rsidR="00B3244A">
              <w:rPr>
                <w:b/>
              </w:rPr>
              <w:t>DICIEMBRE</w:t>
            </w:r>
            <w:r w:rsidR="00FD25EC" w:rsidRPr="005F78AB">
              <w:rPr>
                <w:b/>
              </w:rPr>
              <w:t xml:space="preserve"> DE 2017</w:t>
            </w:r>
          </w:p>
        </w:tc>
        <w:tc>
          <w:tcPr>
            <w:tcW w:w="2170" w:type="dxa"/>
          </w:tcPr>
          <w:p w:rsidR="00FD25EC" w:rsidRPr="005F78AB" w:rsidRDefault="00FD25EC" w:rsidP="00547845">
            <w:pPr>
              <w:jc w:val="right"/>
              <w:rPr>
                <w:b/>
              </w:rPr>
            </w:pPr>
            <w:r w:rsidRPr="005F78AB">
              <w:rPr>
                <w:b/>
              </w:rPr>
              <w:t xml:space="preserve">$ </w:t>
            </w:r>
            <w:r w:rsidR="008608C5">
              <w:rPr>
                <w:b/>
              </w:rPr>
              <w:t>24</w:t>
            </w:r>
            <w:r w:rsidR="00BA0D41" w:rsidRPr="005F78AB">
              <w:rPr>
                <w:b/>
              </w:rPr>
              <w:t>,</w:t>
            </w:r>
            <w:r w:rsidR="005F76FD">
              <w:rPr>
                <w:b/>
              </w:rPr>
              <w:t>489</w:t>
            </w:r>
            <w:r w:rsidR="00BA0D41" w:rsidRPr="005F78AB">
              <w:rPr>
                <w:b/>
              </w:rPr>
              <w:t>,</w:t>
            </w:r>
            <w:r w:rsidR="005F76FD">
              <w:rPr>
                <w:b/>
              </w:rPr>
              <w:t>821</w:t>
            </w:r>
            <w:r w:rsidR="00BA0D41" w:rsidRPr="005F78AB">
              <w:rPr>
                <w:b/>
              </w:rPr>
              <w:t>.</w:t>
            </w:r>
            <w:r w:rsidR="005F76FD">
              <w:rPr>
                <w:b/>
              </w:rPr>
              <w:t>72</w:t>
            </w:r>
          </w:p>
        </w:tc>
      </w:tr>
    </w:tbl>
    <w:p w:rsidR="00FD25EC" w:rsidRDefault="00FD25EC" w:rsidP="00FD25EC"/>
    <w:p w:rsidR="00FD25EC" w:rsidRDefault="00FD25EC" w:rsidP="00FD25EC">
      <w:pPr>
        <w:jc w:val="both"/>
      </w:pPr>
      <w:r>
        <w:t>Inversión Pública no capitalizable integra aquellos bienes que, de acuerdo a las políticas de registro, no exceden el importe de 35 veces la unidad de medida y actualización.</w:t>
      </w:r>
    </w:p>
    <w:p w:rsidR="00E736B9" w:rsidRPr="00D504C8" w:rsidRDefault="00E736B9" w:rsidP="00E736B9">
      <w:pPr>
        <w:pStyle w:val="Prrafodelista"/>
        <w:numPr>
          <w:ilvl w:val="0"/>
          <w:numId w:val="2"/>
        </w:numPr>
        <w:jc w:val="both"/>
      </w:pPr>
      <w:r w:rsidRPr="00D504C8">
        <w:rPr>
          <w:u w:val="single"/>
        </w:rPr>
        <w:t>NOTAS AL ESTADO DE VARIACIÓN EN LA HACIENDA PÚBLICA</w:t>
      </w:r>
    </w:p>
    <w:p w:rsidR="00C57165" w:rsidRPr="00D0693D" w:rsidRDefault="001374EA" w:rsidP="00C57165">
      <w:pPr>
        <w:jc w:val="both"/>
        <w:rPr>
          <w:highlight w:val="yellow"/>
        </w:rPr>
      </w:pPr>
      <w:r>
        <w:rPr>
          <w:noProof/>
        </w:rPr>
        <w:drawing>
          <wp:inline distT="0" distB="0" distL="0" distR="0" wp14:anchorId="5714B2C9" wp14:editId="19933B98">
            <wp:extent cx="5612130" cy="2995930"/>
            <wp:effectExtent l="0" t="0" r="7620" b="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F92E3B27-9F22-4809-8D49-12C3887959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F92E3B27-9F22-4809-8D49-12C3887959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709" t="28389" r="34618" b="12098"/>
                    <a:stretch/>
                  </pic:blipFill>
                  <pic:spPr>
                    <a:xfrm>
                      <a:off x="0" y="0"/>
                      <a:ext cx="561213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36B9" w:rsidRPr="00D0693D" w:rsidRDefault="00E736B9" w:rsidP="00E736B9">
      <w:pPr>
        <w:pStyle w:val="Prrafodelista"/>
        <w:numPr>
          <w:ilvl w:val="0"/>
          <w:numId w:val="2"/>
        </w:numPr>
        <w:jc w:val="both"/>
      </w:pPr>
      <w:r w:rsidRPr="00D0693D">
        <w:rPr>
          <w:u w:val="single"/>
        </w:rPr>
        <w:t>NOTAS AL ESTADO DE FLUJOS DE EFECTIVO</w:t>
      </w:r>
    </w:p>
    <w:p w:rsidR="00D0693D" w:rsidRPr="00D0693D" w:rsidRDefault="00D0693D" w:rsidP="00D0693D">
      <w:pPr>
        <w:pStyle w:val="Prrafodelista"/>
        <w:rPr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312"/>
      </w:tblGrid>
      <w:tr w:rsidR="00D0693D" w:rsidTr="00D0693D">
        <w:tc>
          <w:tcPr>
            <w:tcW w:w="4106" w:type="dxa"/>
          </w:tcPr>
          <w:p w:rsidR="00D0693D" w:rsidRPr="00D0693D" w:rsidRDefault="00D0693D" w:rsidP="00D0693D">
            <w:pPr>
              <w:jc w:val="center"/>
            </w:pPr>
            <w:r>
              <w:t>CUENTA</w:t>
            </w:r>
          </w:p>
        </w:tc>
        <w:tc>
          <w:tcPr>
            <w:tcW w:w="2410" w:type="dxa"/>
          </w:tcPr>
          <w:p w:rsidR="00D0693D" w:rsidRPr="00D0693D" w:rsidRDefault="00D0693D" w:rsidP="00D0693D">
            <w:pPr>
              <w:jc w:val="center"/>
            </w:pPr>
            <w:r w:rsidRPr="00D0693D">
              <w:t>2017</w:t>
            </w:r>
          </w:p>
        </w:tc>
        <w:tc>
          <w:tcPr>
            <w:tcW w:w="2312" w:type="dxa"/>
          </w:tcPr>
          <w:p w:rsidR="00D0693D" w:rsidRPr="00D0693D" w:rsidRDefault="00D0693D" w:rsidP="00D0693D">
            <w:pPr>
              <w:jc w:val="center"/>
            </w:pPr>
            <w:r w:rsidRPr="00D0693D">
              <w:t>2016</w:t>
            </w:r>
          </w:p>
        </w:tc>
      </w:tr>
      <w:tr w:rsidR="00D0693D" w:rsidTr="00D0693D">
        <w:tc>
          <w:tcPr>
            <w:tcW w:w="4106" w:type="dxa"/>
          </w:tcPr>
          <w:p w:rsidR="00D0693D" w:rsidRPr="00D0693D" w:rsidRDefault="00D0693D" w:rsidP="00D0693D">
            <w:pPr>
              <w:jc w:val="both"/>
            </w:pPr>
            <w:r>
              <w:t>Efectivo</w:t>
            </w:r>
          </w:p>
        </w:tc>
        <w:tc>
          <w:tcPr>
            <w:tcW w:w="2410" w:type="dxa"/>
          </w:tcPr>
          <w:p w:rsidR="00D0693D" w:rsidRPr="00D0693D" w:rsidRDefault="006728DA" w:rsidP="00D0693D">
            <w:pPr>
              <w:jc w:val="right"/>
            </w:pPr>
            <w:r>
              <w:t>-23.69</w:t>
            </w:r>
          </w:p>
        </w:tc>
        <w:tc>
          <w:tcPr>
            <w:tcW w:w="2312" w:type="dxa"/>
          </w:tcPr>
          <w:p w:rsidR="00D0693D" w:rsidRPr="00D0693D" w:rsidRDefault="00D0693D" w:rsidP="00D0693D">
            <w:pPr>
              <w:jc w:val="right"/>
            </w:pPr>
            <w:r>
              <w:t>-23.40</w:t>
            </w:r>
          </w:p>
        </w:tc>
      </w:tr>
      <w:tr w:rsidR="00D0693D" w:rsidTr="00D0693D">
        <w:tc>
          <w:tcPr>
            <w:tcW w:w="4106" w:type="dxa"/>
          </w:tcPr>
          <w:p w:rsidR="00D0693D" w:rsidRPr="00D0693D" w:rsidRDefault="00D0693D" w:rsidP="00D0693D">
            <w:pPr>
              <w:jc w:val="both"/>
            </w:pPr>
            <w:r>
              <w:t>Efectivo en Bancos – Tesorería</w:t>
            </w:r>
          </w:p>
        </w:tc>
        <w:tc>
          <w:tcPr>
            <w:tcW w:w="2410" w:type="dxa"/>
          </w:tcPr>
          <w:p w:rsidR="00D0693D" w:rsidRPr="00D0693D" w:rsidRDefault="006728DA" w:rsidP="00D0693D">
            <w:pPr>
              <w:jc w:val="right"/>
            </w:pPr>
            <w:r>
              <w:t>104,838.35</w:t>
            </w:r>
          </w:p>
        </w:tc>
        <w:tc>
          <w:tcPr>
            <w:tcW w:w="2312" w:type="dxa"/>
          </w:tcPr>
          <w:p w:rsidR="00D0693D" w:rsidRPr="00D0693D" w:rsidRDefault="00D0693D" w:rsidP="00D0693D">
            <w:pPr>
              <w:jc w:val="right"/>
            </w:pPr>
            <w:r>
              <w:t>29,877.55</w:t>
            </w:r>
          </w:p>
        </w:tc>
      </w:tr>
      <w:tr w:rsidR="00D0693D" w:rsidTr="00D0693D">
        <w:tc>
          <w:tcPr>
            <w:tcW w:w="4106" w:type="dxa"/>
          </w:tcPr>
          <w:p w:rsidR="00D0693D" w:rsidRPr="00D0693D" w:rsidRDefault="00D0693D" w:rsidP="00D0693D">
            <w:pPr>
              <w:jc w:val="both"/>
            </w:pPr>
            <w:r>
              <w:t>Efectivo en Bancos – Dependencias</w:t>
            </w:r>
          </w:p>
        </w:tc>
        <w:tc>
          <w:tcPr>
            <w:tcW w:w="2410" w:type="dxa"/>
          </w:tcPr>
          <w:p w:rsidR="00D0693D" w:rsidRPr="00D0693D" w:rsidRDefault="00D0693D" w:rsidP="00D0693D">
            <w:pPr>
              <w:jc w:val="right"/>
            </w:pPr>
            <w:r>
              <w:t>0</w:t>
            </w:r>
          </w:p>
        </w:tc>
        <w:tc>
          <w:tcPr>
            <w:tcW w:w="2312" w:type="dxa"/>
          </w:tcPr>
          <w:p w:rsidR="00D0693D" w:rsidRPr="00D0693D" w:rsidRDefault="00D0693D" w:rsidP="00D0693D">
            <w:pPr>
              <w:jc w:val="right"/>
            </w:pPr>
            <w:r>
              <w:t>0</w:t>
            </w:r>
          </w:p>
        </w:tc>
      </w:tr>
      <w:tr w:rsidR="00D0693D" w:rsidTr="00D0693D">
        <w:tc>
          <w:tcPr>
            <w:tcW w:w="4106" w:type="dxa"/>
          </w:tcPr>
          <w:p w:rsidR="00D0693D" w:rsidRPr="00D0693D" w:rsidRDefault="00D0693D" w:rsidP="00D0693D">
            <w:pPr>
              <w:jc w:val="both"/>
            </w:pPr>
            <w:r>
              <w:t>Inversiones temporales (hasta 3 meses)</w:t>
            </w:r>
          </w:p>
        </w:tc>
        <w:tc>
          <w:tcPr>
            <w:tcW w:w="2410" w:type="dxa"/>
          </w:tcPr>
          <w:p w:rsidR="00D0693D" w:rsidRPr="00D0693D" w:rsidRDefault="00D0693D" w:rsidP="00D0693D">
            <w:pPr>
              <w:jc w:val="right"/>
            </w:pPr>
            <w:r>
              <w:t>0</w:t>
            </w:r>
          </w:p>
        </w:tc>
        <w:tc>
          <w:tcPr>
            <w:tcW w:w="2312" w:type="dxa"/>
          </w:tcPr>
          <w:p w:rsidR="00D0693D" w:rsidRPr="00D0693D" w:rsidRDefault="00D0693D" w:rsidP="00D0693D">
            <w:pPr>
              <w:jc w:val="right"/>
            </w:pPr>
            <w:r>
              <w:t>0</w:t>
            </w:r>
          </w:p>
        </w:tc>
      </w:tr>
      <w:tr w:rsidR="00D0693D" w:rsidTr="00D0693D">
        <w:tc>
          <w:tcPr>
            <w:tcW w:w="4106" w:type="dxa"/>
          </w:tcPr>
          <w:p w:rsidR="00D0693D" w:rsidRPr="00D0693D" w:rsidRDefault="00D0693D" w:rsidP="00D0693D">
            <w:pPr>
              <w:jc w:val="both"/>
            </w:pPr>
            <w:r>
              <w:t>Fondos con afectación específica</w:t>
            </w:r>
          </w:p>
        </w:tc>
        <w:tc>
          <w:tcPr>
            <w:tcW w:w="2410" w:type="dxa"/>
          </w:tcPr>
          <w:p w:rsidR="00D0693D" w:rsidRPr="00D0693D" w:rsidRDefault="00D0693D" w:rsidP="00D0693D">
            <w:pPr>
              <w:jc w:val="right"/>
            </w:pPr>
            <w:r>
              <w:t>0</w:t>
            </w:r>
          </w:p>
        </w:tc>
        <w:tc>
          <w:tcPr>
            <w:tcW w:w="2312" w:type="dxa"/>
          </w:tcPr>
          <w:p w:rsidR="00D0693D" w:rsidRPr="00D0693D" w:rsidRDefault="00D0693D" w:rsidP="00D0693D">
            <w:pPr>
              <w:jc w:val="right"/>
            </w:pPr>
            <w:r>
              <w:t>0</w:t>
            </w:r>
          </w:p>
        </w:tc>
      </w:tr>
      <w:tr w:rsidR="00D0693D" w:rsidTr="00D0693D">
        <w:tc>
          <w:tcPr>
            <w:tcW w:w="4106" w:type="dxa"/>
          </w:tcPr>
          <w:p w:rsidR="00D0693D" w:rsidRPr="00D0693D" w:rsidRDefault="00D0693D" w:rsidP="00D0693D">
            <w:pPr>
              <w:jc w:val="both"/>
            </w:pPr>
            <w:r>
              <w:t>Depósitos de fondos de terceros y otros</w:t>
            </w:r>
          </w:p>
        </w:tc>
        <w:tc>
          <w:tcPr>
            <w:tcW w:w="2410" w:type="dxa"/>
          </w:tcPr>
          <w:p w:rsidR="00D0693D" w:rsidRPr="00D0693D" w:rsidRDefault="00D0693D" w:rsidP="00D0693D">
            <w:pPr>
              <w:jc w:val="right"/>
            </w:pPr>
            <w:r>
              <w:t>0</w:t>
            </w:r>
          </w:p>
        </w:tc>
        <w:tc>
          <w:tcPr>
            <w:tcW w:w="2312" w:type="dxa"/>
          </w:tcPr>
          <w:p w:rsidR="00D0693D" w:rsidRPr="00D0693D" w:rsidRDefault="00D0693D" w:rsidP="00D0693D">
            <w:pPr>
              <w:jc w:val="right"/>
            </w:pPr>
            <w:r>
              <w:t>0</w:t>
            </w:r>
          </w:p>
        </w:tc>
      </w:tr>
      <w:tr w:rsidR="00D0693D" w:rsidTr="00D0693D">
        <w:tc>
          <w:tcPr>
            <w:tcW w:w="4106" w:type="dxa"/>
          </w:tcPr>
          <w:p w:rsidR="00D0693D" w:rsidRPr="00D0693D" w:rsidRDefault="00D0693D" w:rsidP="00D0693D">
            <w:pPr>
              <w:jc w:val="both"/>
            </w:pPr>
            <w:r>
              <w:t>Otros efectivos y equivalentes</w:t>
            </w:r>
          </w:p>
        </w:tc>
        <w:tc>
          <w:tcPr>
            <w:tcW w:w="2410" w:type="dxa"/>
          </w:tcPr>
          <w:p w:rsidR="00D0693D" w:rsidRPr="00D0693D" w:rsidRDefault="00D0693D" w:rsidP="00D0693D">
            <w:pPr>
              <w:jc w:val="right"/>
            </w:pPr>
            <w:r>
              <w:t>0</w:t>
            </w:r>
          </w:p>
        </w:tc>
        <w:tc>
          <w:tcPr>
            <w:tcW w:w="2312" w:type="dxa"/>
          </w:tcPr>
          <w:p w:rsidR="00D0693D" w:rsidRPr="00D0693D" w:rsidRDefault="00D0693D" w:rsidP="00D0693D">
            <w:pPr>
              <w:jc w:val="right"/>
            </w:pPr>
            <w:r>
              <w:t>0</w:t>
            </w:r>
          </w:p>
        </w:tc>
      </w:tr>
      <w:tr w:rsidR="00D0693D" w:rsidTr="00D0693D">
        <w:trPr>
          <w:trHeight w:val="70"/>
        </w:trPr>
        <w:tc>
          <w:tcPr>
            <w:tcW w:w="4106" w:type="dxa"/>
          </w:tcPr>
          <w:p w:rsidR="00D0693D" w:rsidRPr="00E30E83" w:rsidRDefault="00D0693D" w:rsidP="00D0693D">
            <w:pPr>
              <w:jc w:val="both"/>
              <w:rPr>
                <w:b/>
              </w:rPr>
            </w:pPr>
            <w:proofErr w:type="gramStart"/>
            <w:r w:rsidRPr="00E30E83">
              <w:rPr>
                <w:b/>
              </w:rPr>
              <w:t>Total</w:t>
            </w:r>
            <w:proofErr w:type="gramEnd"/>
            <w:r w:rsidRPr="00E30E83">
              <w:rPr>
                <w:b/>
              </w:rPr>
              <w:t xml:space="preserve"> de efectivo y equivalentes</w:t>
            </w:r>
          </w:p>
        </w:tc>
        <w:tc>
          <w:tcPr>
            <w:tcW w:w="2410" w:type="dxa"/>
          </w:tcPr>
          <w:p w:rsidR="00D0693D" w:rsidRPr="00E30E83" w:rsidRDefault="006728DA" w:rsidP="00D0693D">
            <w:pPr>
              <w:jc w:val="right"/>
              <w:rPr>
                <w:b/>
              </w:rPr>
            </w:pPr>
            <w:r>
              <w:rPr>
                <w:b/>
              </w:rPr>
              <w:t>104</w:t>
            </w:r>
            <w:r w:rsidR="0085264A">
              <w:rPr>
                <w:b/>
              </w:rPr>
              <w:t>,</w:t>
            </w:r>
            <w:r>
              <w:rPr>
                <w:b/>
              </w:rPr>
              <w:t>814</w:t>
            </w:r>
            <w:r w:rsidR="0085264A">
              <w:rPr>
                <w:b/>
              </w:rPr>
              <w:t>.</w:t>
            </w:r>
            <w:r>
              <w:rPr>
                <w:b/>
              </w:rPr>
              <w:t>66</w:t>
            </w:r>
          </w:p>
        </w:tc>
        <w:tc>
          <w:tcPr>
            <w:tcW w:w="2312" w:type="dxa"/>
          </w:tcPr>
          <w:p w:rsidR="00D0693D" w:rsidRPr="00E30E83" w:rsidRDefault="00D0693D" w:rsidP="00D0693D">
            <w:pPr>
              <w:jc w:val="right"/>
              <w:rPr>
                <w:b/>
              </w:rPr>
            </w:pPr>
            <w:r w:rsidRPr="00E30E83">
              <w:rPr>
                <w:b/>
              </w:rPr>
              <w:t>29,854.15</w:t>
            </w:r>
          </w:p>
        </w:tc>
      </w:tr>
    </w:tbl>
    <w:p w:rsidR="00830254" w:rsidRPr="00D0693D" w:rsidRDefault="00830254" w:rsidP="00830254">
      <w:pPr>
        <w:jc w:val="both"/>
        <w:rPr>
          <w:highlight w:val="yellow"/>
        </w:rPr>
      </w:pPr>
    </w:p>
    <w:p w:rsidR="00E736B9" w:rsidRPr="00D1740B" w:rsidRDefault="00E736B9" w:rsidP="00E736B9">
      <w:pPr>
        <w:pStyle w:val="Prrafodelista"/>
        <w:numPr>
          <w:ilvl w:val="0"/>
          <w:numId w:val="2"/>
        </w:numPr>
        <w:jc w:val="both"/>
      </w:pPr>
      <w:r w:rsidRPr="00D1740B">
        <w:rPr>
          <w:u w:val="single"/>
        </w:rPr>
        <w:t>CONCILIACIÓN ENTRE LOS INGRESOS PRESUPUESTARIOS Y CONTABLES, ASÍ COMO ENTRE LOS EGRESOS PRESUPUESTARIOS Y LOS GASTOS CONTABLES</w:t>
      </w:r>
    </w:p>
    <w:p w:rsidR="00B35C96" w:rsidRPr="00D1740B" w:rsidRDefault="00B35C96" w:rsidP="00735B04">
      <w:pPr>
        <w:pStyle w:val="Prrafodelista"/>
        <w:jc w:val="both"/>
      </w:pPr>
    </w:p>
    <w:tbl>
      <w:tblPr>
        <w:tblW w:w="99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3320"/>
        <w:gridCol w:w="1200"/>
        <w:gridCol w:w="1200"/>
      </w:tblGrid>
      <w:tr w:rsidR="00D1740B" w:rsidRPr="00D1740B" w:rsidTr="00D1740B">
        <w:trPr>
          <w:trHeight w:val="300"/>
        </w:trPr>
        <w:tc>
          <w:tcPr>
            <w:tcW w:w="99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Conciliación entre los Ingresos Presupuestarios y Contables</w:t>
            </w:r>
          </w:p>
        </w:tc>
      </w:tr>
      <w:tr w:rsidR="00D1740B" w:rsidRPr="00D1740B" w:rsidTr="00D1740B">
        <w:trPr>
          <w:trHeight w:val="300"/>
        </w:trPr>
        <w:tc>
          <w:tcPr>
            <w:tcW w:w="998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Correspondiente del 01 de enero al 3</w:t>
            </w:r>
            <w:r w:rsidR="00FB6E9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Pr="00D174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4859B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diciembre</w:t>
            </w:r>
            <w:r w:rsidRPr="00D174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 2017</w:t>
            </w:r>
          </w:p>
        </w:tc>
      </w:tr>
      <w:tr w:rsidR="00D1740B" w:rsidRPr="00D1740B" w:rsidTr="00D1740B">
        <w:trPr>
          <w:trHeight w:val="315"/>
        </w:trPr>
        <w:tc>
          <w:tcPr>
            <w:tcW w:w="998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(Cifras en pesos)</w:t>
            </w:r>
          </w:p>
        </w:tc>
      </w:tr>
      <w:tr w:rsidR="00D1740B" w:rsidRPr="00D1740B" w:rsidTr="00C70096">
        <w:trPr>
          <w:trHeight w:val="270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Ingresos Presupuestarios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40B" w:rsidRPr="00D1740B" w:rsidRDefault="00663224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  <w:r w:rsidR="00D1740B" w:rsidRPr="00D174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517</w:t>
            </w:r>
            <w:r w:rsidR="00D1740B" w:rsidRPr="00D174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645</w:t>
            </w:r>
            <w:r w:rsidR="00D1740B" w:rsidRPr="00D174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.0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D1740B" w:rsidRPr="00D1740B" w:rsidTr="00C70096">
        <w:trPr>
          <w:trHeight w:val="285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Más ingresos contables no presupuestarios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1740B" w:rsidRPr="00D1740B" w:rsidTr="00D1740B">
        <w:trPr>
          <w:trHeight w:val="34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Incremento por variación de inventarios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1740B" w:rsidRPr="00D1740B" w:rsidTr="00D1740B">
        <w:trPr>
          <w:trHeight w:val="54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1740B" w:rsidRPr="00D1740B" w:rsidTr="00D1740B">
        <w:trPr>
          <w:trHeight w:val="255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Disminución del exceso de provisiones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1740B" w:rsidRPr="00D1740B" w:rsidTr="00D1740B">
        <w:trPr>
          <w:trHeight w:val="315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Otros ingresos y beneficios varios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1740B" w:rsidRPr="00D1740B" w:rsidTr="00D1740B">
        <w:trPr>
          <w:trHeight w:val="27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Otros ingresos contables no presupuestarios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1740B" w:rsidRPr="00D1740B" w:rsidTr="00D1740B">
        <w:trPr>
          <w:trHeight w:val="285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Menos ingresos presupuestarios no contables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D1740B" w:rsidRPr="00D1740B" w:rsidTr="00D1740B">
        <w:trPr>
          <w:trHeight w:val="27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Productos de capital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1740B" w:rsidRPr="00D1740B" w:rsidTr="00D1740B">
        <w:trPr>
          <w:trHeight w:val="24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D174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Aprovechamientos capital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1740B" w:rsidRPr="00D1740B" w:rsidTr="00D1740B">
        <w:trPr>
          <w:trHeight w:val="285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Ingresos derivados de financiamientos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1740B" w:rsidRPr="00D1740B" w:rsidTr="00D1740B">
        <w:trPr>
          <w:trHeight w:val="285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Otros Ingresos presupuestarios no contables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D1740B" w:rsidRPr="00D1740B" w:rsidTr="00D1740B">
        <w:trPr>
          <w:trHeight w:val="315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174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In</w:t>
            </w:r>
            <w:r w:rsidR="00AB327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gresos Contables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D1740B" w:rsidRPr="00D1740B" w:rsidRDefault="00D1740B" w:rsidP="00D17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1740B" w:rsidRPr="00D1740B" w:rsidRDefault="00663224" w:rsidP="00D1740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  <w:r w:rsidRPr="00D174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517</w:t>
            </w:r>
            <w:r w:rsidRPr="00D174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645</w:t>
            </w:r>
            <w:r w:rsidRPr="00D1740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.0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</w:tbl>
    <w:p w:rsidR="00735B04" w:rsidRDefault="00735B04" w:rsidP="00735B04">
      <w:pPr>
        <w:pStyle w:val="Prrafodelista"/>
        <w:jc w:val="both"/>
      </w:pPr>
    </w:p>
    <w:tbl>
      <w:tblPr>
        <w:tblW w:w="99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3320"/>
        <w:gridCol w:w="1200"/>
        <w:gridCol w:w="1200"/>
      </w:tblGrid>
      <w:tr w:rsidR="00FC7DB4" w:rsidRPr="00FC7DB4" w:rsidTr="00FC7DB4">
        <w:trPr>
          <w:trHeight w:val="300"/>
        </w:trPr>
        <w:tc>
          <w:tcPr>
            <w:tcW w:w="9980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Conciliación entre los Egresos Presupuestarios y los Gastos Contables</w:t>
            </w:r>
          </w:p>
        </w:tc>
      </w:tr>
      <w:tr w:rsidR="00FC7DB4" w:rsidRPr="00FC7DB4" w:rsidTr="00FC7DB4">
        <w:trPr>
          <w:trHeight w:val="315"/>
        </w:trPr>
        <w:tc>
          <w:tcPr>
            <w:tcW w:w="9980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Correspondiente del 01 de enero al 3</w:t>
            </w:r>
            <w:r w:rsidR="00FB6E9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Pr="00FC7DB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AD5EF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diciembre</w:t>
            </w:r>
            <w:r w:rsidRPr="00FC7DB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 2017</w:t>
            </w:r>
          </w:p>
        </w:tc>
      </w:tr>
      <w:tr w:rsidR="00FC7DB4" w:rsidRPr="00FC7DB4" w:rsidTr="00FC7DB4">
        <w:trPr>
          <w:trHeight w:val="315"/>
        </w:trPr>
        <w:tc>
          <w:tcPr>
            <w:tcW w:w="7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C7DB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FC7DB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 egresos (presupuestarios)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891A7B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  <w:r w:rsidR="00FC7DB4" w:rsidRPr="00FC7DB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517</w:t>
            </w:r>
            <w:r w:rsidR="00FC7DB4" w:rsidRPr="00FC7DB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645</w:t>
            </w:r>
            <w:r w:rsidR="00FC7DB4" w:rsidRPr="00FC7DB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02</w:t>
            </w:r>
          </w:p>
        </w:tc>
      </w:tr>
      <w:tr w:rsidR="00FC7DB4" w:rsidRPr="00FC7DB4" w:rsidTr="00FC7DB4">
        <w:trPr>
          <w:trHeight w:val="315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Menos egresos presupuestarios no contables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7DB4" w:rsidRPr="00FC7DB4" w:rsidRDefault="00891A7B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326</w:t>
            </w:r>
            <w:r w:rsidR="00D1188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455</w:t>
            </w:r>
            <w:r w:rsidR="00D1188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60</w:t>
            </w:r>
          </w:p>
        </w:tc>
      </w:tr>
      <w:tr w:rsidR="00FC7DB4" w:rsidRPr="00FC7DB4" w:rsidTr="00FC7DB4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Mobiliario y equipo de administración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891A7B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249,926.10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Mobiliario y equipo educacional y recreativo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891A7B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19,275.16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51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Equipo e instrumental médico y de laboratorio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Vehículos y equipo de transporte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Equipo de defensa y seguridad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Maquinaria, otros equipos y herramientas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Activos biológicos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Bienes inmuebles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Activos intangibles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891A7B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57</w:t>
            </w:r>
            <w:r w:rsidR="00D118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254</w:t>
            </w:r>
            <w:r w:rsidR="00D118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Obra pública en bienes propios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Acciones y participaciones de capital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Compra de títulos y valores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51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Inversiones en fideicomisos, mandatos y otros análogos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51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Provisiones para contingencias y otras erogaciones especiales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Amortización de la deuda publica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315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Otros Egresos Presupuestales No Contables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315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Más gastos contables no presupuestales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7DB4" w:rsidRPr="00FC7DB4" w:rsidRDefault="00AC0573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298</w:t>
            </w:r>
            <w:r w:rsidR="00652F7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632</w:t>
            </w:r>
            <w:r w:rsidR="00652F7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FC7DB4" w:rsidRPr="00FC7DB4" w:rsidTr="00FC7DB4">
        <w:trPr>
          <w:trHeight w:val="51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652F76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</w:t>
            </w:r>
            <w:r w:rsidR="00AC057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98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,</w:t>
            </w:r>
            <w:r w:rsidR="00AC057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632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.</w:t>
            </w:r>
            <w:r w:rsidR="00AC057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Provisiones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Disminución de inventarios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51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Aumento por insuficiencia de provisiones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300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4" w:rsidRPr="00FC7DB4" w:rsidRDefault="00AC0573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315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Otros Gastos Contables No Presupuestales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FC7DB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DB4" w:rsidRPr="00FC7DB4" w:rsidRDefault="00FC7DB4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FC7DB4" w:rsidRPr="00FC7DB4" w:rsidTr="00FC7DB4">
        <w:trPr>
          <w:trHeight w:val="315"/>
        </w:trPr>
        <w:tc>
          <w:tcPr>
            <w:tcW w:w="7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C7DB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FC7DB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de Gasto Contable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C7DB4" w:rsidRPr="00FC7DB4" w:rsidRDefault="00FC7DB4" w:rsidP="00FC7DB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7DB4" w:rsidRPr="00FC7DB4" w:rsidRDefault="00AC0573" w:rsidP="00FC7DB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24</w:t>
            </w:r>
            <w:r w:rsidR="00FC7DB4" w:rsidRPr="00FC7DB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489</w:t>
            </w:r>
            <w:r w:rsidR="00FC7DB4" w:rsidRPr="00FC7DB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821</w:t>
            </w:r>
            <w:r w:rsidR="00FC7DB4" w:rsidRPr="00FC7DB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.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72</w:t>
            </w:r>
          </w:p>
        </w:tc>
      </w:tr>
    </w:tbl>
    <w:p w:rsidR="00FC7DB4" w:rsidRDefault="00FC7DB4" w:rsidP="00735B04">
      <w:pPr>
        <w:pStyle w:val="Prrafodelista"/>
        <w:jc w:val="both"/>
      </w:pPr>
    </w:p>
    <w:p w:rsidR="00D1740B" w:rsidRPr="00D1740B" w:rsidRDefault="00D1740B" w:rsidP="00735B04">
      <w:pPr>
        <w:pStyle w:val="Prrafodelista"/>
        <w:jc w:val="both"/>
      </w:pPr>
    </w:p>
    <w:p w:rsidR="00E736B9" w:rsidRDefault="00E736B9" w:rsidP="00E736B9">
      <w:pPr>
        <w:pStyle w:val="Prrafodelista"/>
        <w:rPr>
          <w:u w:val="single"/>
        </w:rPr>
      </w:pPr>
    </w:p>
    <w:p w:rsidR="00547845" w:rsidRPr="003540F0" w:rsidRDefault="00547845" w:rsidP="00257D7A">
      <w:pPr>
        <w:jc w:val="both"/>
      </w:pPr>
    </w:p>
    <w:p w:rsidR="00A02F33" w:rsidRPr="00441445" w:rsidRDefault="00A02F33" w:rsidP="00486B62">
      <w:pPr>
        <w:pStyle w:val="Prrafodelista"/>
        <w:numPr>
          <w:ilvl w:val="0"/>
          <w:numId w:val="1"/>
        </w:numPr>
        <w:shd w:val="clear" w:color="auto" w:fill="BFBFBF" w:themeFill="background1" w:themeFillShade="BF"/>
        <w:jc w:val="center"/>
        <w:rPr>
          <w:b/>
          <w:u w:val="single"/>
        </w:rPr>
      </w:pPr>
      <w:r w:rsidRPr="00441445">
        <w:rPr>
          <w:b/>
          <w:u w:val="single"/>
        </w:rPr>
        <w:t>NOTAS DE MEMORIA</w:t>
      </w:r>
      <w:r w:rsidR="00853A77" w:rsidRPr="00441445">
        <w:rPr>
          <w:b/>
          <w:u w:val="single"/>
        </w:rPr>
        <w:t xml:space="preserve"> (CUENTAS DE ORDEN)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53A77" w:rsidTr="00853A77">
        <w:tc>
          <w:tcPr>
            <w:tcW w:w="4414" w:type="dxa"/>
          </w:tcPr>
          <w:p w:rsidR="00853A77" w:rsidRPr="00853A77" w:rsidRDefault="00853A77" w:rsidP="00853A77">
            <w:pPr>
              <w:jc w:val="center"/>
            </w:pPr>
            <w:r>
              <w:t>CUENTAS DE ORDEN</w:t>
            </w:r>
          </w:p>
        </w:tc>
        <w:tc>
          <w:tcPr>
            <w:tcW w:w="4414" w:type="dxa"/>
          </w:tcPr>
          <w:p w:rsidR="00853A77" w:rsidRPr="00853A77" w:rsidRDefault="00853A77" w:rsidP="00853A77">
            <w:pPr>
              <w:jc w:val="center"/>
            </w:pPr>
            <w:r>
              <w:t>SALDO AL 3</w:t>
            </w:r>
            <w:r w:rsidR="0057186E">
              <w:t>1</w:t>
            </w:r>
            <w:r>
              <w:t xml:space="preserve"> DE </w:t>
            </w:r>
            <w:r w:rsidR="0057186E">
              <w:t>DICIEMBRE</w:t>
            </w:r>
            <w:r>
              <w:t xml:space="preserve"> DE 2017</w:t>
            </w:r>
          </w:p>
        </w:tc>
      </w:tr>
      <w:tr w:rsidR="00853A77" w:rsidTr="00853A77">
        <w:tc>
          <w:tcPr>
            <w:tcW w:w="4414" w:type="dxa"/>
          </w:tcPr>
          <w:p w:rsidR="00853A77" w:rsidRPr="00562A96" w:rsidRDefault="00562A96" w:rsidP="00562A96">
            <w:r>
              <w:t>Ley de ingresos estimada</w:t>
            </w:r>
          </w:p>
        </w:tc>
        <w:tc>
          <w:tcPr>
            <w:tcW w:w="4414" w:type="dxa"/>
          </w:tcPr>
          <w:p w:rsidR="00853A77" w:rsidRPr="00A101F9" w:rsidRDefault="00A101F9" w:rsidP="005F5469">
            <w:pPr>
              <w:jc w:val="right"/>
            </w:pPr>
            <w:r w:rsidRPr="00A101F9">
              <w:t>$ 2</w:t>
            </w:r>
            <w:r w:rsidR="006F2A35">
              <w:t>4</w:t>
            </w:r>
            <w:r w:rsidRPr="00A101F9">
              <w:t>,</w:t>
            </w:r>
            <w:r w:rsidR="006F2A35">
              <w:t>451</w:t>
            </w:r>
            <w:r w:rsidRPr="00A101F9">
              <w:t>,397.00</w:t>
            </w:r>
          </w:p>
        </w:tc>
      </w:tr>
      <w:tr w:rsidR="00853A77" w:rsidTr="00853A77">
        <w:tc>
          <w:tcPr>
            <w:tcW w:w="4414" w:type="dxa"/>
          </w:tcPr>
          <w:p w:rsidR="00853A77" w:rsidRPr="00562A96" w:rsidRDefault="00562A96" w:rsidP="00562A96">
            <w:r>
              <w:t>Ingresos propios</w:t>
            </w:r>
          </w:p>
        </w:tc>
        <w:tc>
          <w:tcPr>
            <w:tcW w:w="4414" w:type="dxa"/>
          </w:tcPr>
          <w:p w:rsidR="00853A77" w:rsidRPr="00387050" w:rsidRDefault="005F5469" w:rsidP="005F5469">
            <w:pPr>
              <w:jc w:val="right"/>
            </w:pPr>
            <w:r>
              <w:t>$ 0.00</w:t>
            </w:r>
          </w:p>
        </w:tc>
      </w:tr>
      <w:tr w:rsidR="00853A77" w:rsidTr="00853A77">
        <w:tc>
          <w:tcPr>
            <w:tcW w:w="4414" w:type="dxa"/>
          </w:tcPr>
          <w:p w:rsidR="00853A77" w:rsidRPr="00562A96" w:rsidRDefault="00562A96" w:rsidP="00562A96">
            <w:r>
              <w:t>Ley de ingresos recaudada</w:t>
            </w:r>
          </w:p>
        </w:tc>
        <w:tc>
          <w:tcPr>
            <w:tcW w:w="4414" w:type="dxa"/>
          </w:tcPr>
          <w:p w:rsidR="00853A77" w:rsidRPr="00387050" w:rsidRDefault="00387050" w:rsidP="005F5469">
            <w:pPr>
              <w:jc w:val="right"/>
            </w:pPr>
            <w:r w:rsidRPr="00387050">
              <w:t xml:space="preserve">$ </w:t>
            </w:r>
            <w:r w:rsidR="006F2A35">
              <w:t>24</w:t>
            </w:r>
            <w:r w:rsidRPr="00387050">
              <w:t>,</w:t>
            </w:r>
            <w:r w:rsidR="006F2A35">
              <w:t>451</w:t>
            </w:r>
            <w:r w:rsidRPr="00387050">
              <w:t>,</w:t>
            </w:r>
            <w:r w:rsidR="006F2A35">
              <w:t>397</w:t>
            </w:r>
            <w:r w:rsidRPr="00387050">
              <w:t>.00</w:t>
            </w:r>
          </w:p>
        </w:tc>
      </w:tr>
      <w:tr w:rsidR="00853A77" w:rsidTr="00853A77">
        <w:tc>
          <w:tcPr>
            <w:tcW w:w="4414" w:type="dxa"/>
          </w:tcPr>
          <w:p w:rsidR="00853A77" w:rsidRPr="00562A96" w:rsidRDefault="00562A96" w:rsidP="00562A96">
            <w:r>
              <w:t>Ley de ingresos recaudada (otros ingresos)</w:t>
            </w:r>
          </w:p>
        </w:tc>
        <w:tc>
          <w:tcPr>
            <w:tcW w:w="4414" w:type="dxa"/>
          </w:tcPr>
          <w:p w:rsidR="00853A77" w:rsidRPr="00387050" w:rsidRDefault="005F5469" w:rsidP="005F5469">
            <w:pPr>
              <w:jc w:val="right"/>
            </w:pPr>
            <w:r>
              <w:t>$ 0.00</w:t>
            </w:r>
          </w:p>
        </w:tc>
      </w:tr>
      <w:tr w:rsidR="00853A77" w:rsidTr="00853A77">
        <w:tc>
          <w:tcPr>
            <w:tcW w:w="4414" w:type="dxa"/>
          </w:tcPr>
          <w:p w:rsidR="00853A77" w:rsidRPr="00562A96" w:rsidRDefault="00562A96" w:rsidP="00562A96">
            <w:r>
              <w:t>Ley de ingresos por ejecutar</w:t>
            </w:r>
          </w:p>
        </w:tc>
        <w:tc>
          <w:tcPr>
            <w:tcW w:w="4414" w:type="dxa"/>
          </w:tcPr>
          <w:p w:rsidR="00853A77" w:rsidRPr="00387050" w:rsidRDefault="00387050" w:rsidP="005F5469">
            <w:pPr>
              <w:jc w:val="right"/>
            </w:pPr>
            <w:r>
              <w:t xml:space="preserve">$ </w:t>
            </w:r>
            <w:r w:rsidR="006F2A35">
              <w:t>0</w:t>
            </w:r>
            <w:r w:rsidR="00E935BA">
              <w:t>.00</w:t>
            </w:r>
          </w:p>
        </w:tc>
      </w:tr>
      <w:tr w:rsidR="00853A77" w:rsidTr="00853A77">
        <w:tc>
          <w:tcPr>
            <w:tcW w:w="4414" w:type="dxa"/>
          </w:tcPr>
          <w:p w:rsidR="00853A77" w:rsidRPr="00562A96" w:rsidRDefault="00562A96" w:rsidP="00562A96">
            <w:r>
              <w:t>Ley de ingresos devengada</w:t>
            </w:r>
          </w:p>
        </w:tc>
        <w:tc>
          <w:tcPr>
            <w:tcW w:w="4414" w:type="dxa"/>
          </w:tcPr>
          <w:p w:rsidR="00387050" w:rsidRPr="00387050" w:rsidRDefault="00387050" w:rsidP="005F5469">
            <w:pPr>
              <w:jc w:val="right"/>
            </w:pPr>
            <w:r>
              <w:t xml:space="preserve">$ </w:t>
            </w:r>
            <w:r w:rsidR="006F2A35">
              <w:t>24</w:t>
            </w:r>
            <w:r>
              <w:t>,</w:t>
            </w:r>
            <w:r w:rsidR="006F2A35">
              <w:t>451</w:t>
            </w:r>
            <w:r>
              <w:t>,</w:t>
            </w:r>
            <w:r w:rsidR="006F2A35">
              <w:t>397</w:t>
            </w:r>
            <w:r>
              <w:t>.00</w:t>
            </w:r>
          </w:p>
        </w:tc>
      </w:tr>
      <w:tr w:rsidR="00853A77" w:rsidTr="00853A77">
        <w:tc>
          <w:tcPr>
            <w:tcW w:w="4414" w:type="dxa"/>
          </w:tcPr>
          <w:p w:rsidR="00853A77" w:rsidRPr="00562A96" w:rsidRDefault="00562A96" w:rsidP="00562A96">
            <w:r>
              <w:t>Presupuesto de egresos aprobado</w:t>
            </w:r>
          </w:p>
        </w:tc>
        <w:tc>
          <w:tcPr>
            <w:tcW w:w="4414" w:type="dxa"/>
          </w:tcPr>
          <w:p w:rsidR="00853A77" w:rsidRPr="00387050" w:rsidRDefault="00387050" w:rsidP="005F5469">
            <w:pPr>
              <w:jc w:val="right"/>
            </w:pPr>
            <w:r>
              <w:t>$ 2</w:t>
            </w:r>
            <w:r w:rsidR="00977912">
              <w:t>4</w:t>
            </w:r>
            <w:r>
              <w:t>,</w:t>
            </w:r>
            <w:r w:rsidR="00977912">
              <w:t>517</w:t>
            </w:r>
            <w:r>
              <w:t>,</w:t>
            </w:r>
            <w:r w:rsidR="00977912">
              <w:t>645</w:t>
            </w:r>
            <w:r>
              <w:t>.</w:t>
            </w:r>
            <w:r w:rsidR="00977912">
              <w:t>02</w:t>
            </w:r>
          </w:p>
        </w:tc>
      </w:tr>
      <w:tr w:rsidR="00562A96" w:rsidTr="00853A77">
        <w:tc>
          <w:tcPr>
            <w:tcW w:w="4414" w:type="dxa"/>
          </w:tcPr>
          <w:p w:rsidR="00562A96" w:rsidRPr="00562A96" w:rsidRDefault="00562A96" w:rsidP="00562A96">
            <w:r>
              <w:t>Presupuesto de egresos aprobado (ADEFAS)</w:t>
            </w:r>
          </w:p>
        </w:tc>
        <w:tc>
          <w:tcPr>
            <w:tcW w:w="4414" w:type="dxa"/>
          </w:tcPr>
          <w:p w:rsidR="00562A96" w:rsidRPr="00387050" w:rsidRDefault="005F5469" w:rsidP="005F5469">
            <w:pPr>
              <w:jc w:val="right"/>
            </w:pPr>
            <w:r>
              <w:t>$ 0.00</w:t>
            </w:r>
          </w:p>
        </w:tc>
      </w:tr>
      <w:tr w:rsidR="00562A96" w:rsidTr="00853A77">
        <w:tc>
          <w:tcPr>
            <w:tcW w:w="4414" w:type="dxa"/>
          </w:tcPr>
          <w:p w:rsidR="00562A96" w:rsidRPr="00562A96" w:rsidRDefault="00562A96" w:rsidP="00562A96">
            <w:r>
              <w:t>Presupuesto de egresos comprometido</w:t>
            </w:r>
          </w:p>
        </w:tc>
        <w:tc>
          <w:tcPr>
            <w:tcW w:w="4414" w:type="dxa"/>
          </w:tcPr>
          <w:p w:rsidR="00562A96" w:rsidRPr="00387050" w:rsidRDefault="00387050" w:rsidP="005F5469">
            <w:pPr>
              <w:jc w:val="right"/>
            </w:pPr>
            <w:r w:rsidRPr="00387050">
              <w:t>$</w:t>
            </w:r>
            <w:r w:rsidR="00977912">
              <w:t>24</w:t>
            </w:r>
            <w:r w:rsidRPr="00387050">
              <w:t>,</w:t>
            </w:r>
            <w:r w:rsidR="00977912">
              <w:t>517</w:t>
            </w:r>
            <w:r w:rsidRPr="00387050">
              <w:t>,</w:t>
            </w:r>
            <w:r w:rsidR="00977912">
              <w:t>645</w:t>
            </w:r>
            <w:r w:rsidRPr="00387050">
              <w:t>.</w:t>
            </w:r>
            <w:r w:rsidR="00977912">
              <w:t>02</w:t>
            </w:r>
          </w:p>
        </w:tc>
      </w:tr>
      <w:tr w:rsidR="00562A96" w:rsidTr="00853A77">
        <w:tc>
          <w:tcPr>
            <w:tcW w:w="4414" w:type="dxa"/>
          </w:tcPr>
          <w:p w:rsidR="00562A96" w:rsidRPr="00562A96" w:rsidRDefault="000D113F" w:rsidP="00562A96">
            <w:r>
              <w:t>Presupuesto de egresos devengado</w:t>
            </w:r>
          </w:p>
        </w:tc>
        <w:tc>
          <w:tcPr>
            <w:tcW w:w="4414" w:type="dxa"/>
          </w:tcPr>
          <w:p w:rsidR="00562A96" w:rsidRPr="00387050" w:rsidRDefault="005F5469" w:rsidP="005F5469">
            <w:pPr>
              <w:jc w:val="right"/>
            </w:pPr>
            <w:r>
              <w:t xml:space="preserve">$ </w:t>
            </w:r>
            <w:r w:rsidR="00977912">
              <w:t>24,517,645</w:t>
            </w:r>
            <w:r>
              <w:t>.0</w:t>
            </w:r>
            <w:r w:rsidR="00977912">
              <w:t>2</w:t>
            </w:r>
          </w:p>
        </w:tc>
      </w:tr>
      <w:tr w:rsidR="000D113F" w:rsidTr="00853A77">
        <w:tc>
          <w:tcPr>
            <w:tcW w:w="4414" w:type="dxa"/>
          </w:tcPr>
          <w:p w:rsidR="000D113F" w:rsidRDefault="000D113F" w:rsidP="00562A96">
            <w:r>
              <w:t>Presupuesto de egresos ejercido</w:t>
            </w:r>
          </w:p>
        </w:tc>
        <w:tc>
          <w:tcPr>
            <w:tcW w:w="4414" w:type="dxa"/>
          </w:tcPr>
          <w:p w:rsidR="000D113F" w:rsidRPr="00387050" w:rsidRDefault="005F5469" w:rsidP="005F5469">
            <w:pPr>
              <w:jc w:val="right"/>
            </w:pPr>
            <w:r>
              <w:t xml:space="preserve">$ </w:t>
            </w:r>
            <w:r w:rsidR="00977912">
              <w:t>24,517,645</w:t>
            </w:r>
            <w:r>
              <w:t>.0</w:t>
            </w:r>
            <w:r w:rsidR="00977912">
              <w:t>2</w:t>
            </w:r>
          </w:p>
        </w:tc>
      </w:tr>
      <w:tr w:rsidR="000D113F" w:rsidTr="00853A77">
        <w:tc>
          <w:tcPr>
            <w:tcW w:w="4414" w:type="dxa"/>
          </w:tcPr>
          <w:p w:rsidR="000D113F" w:rsidRDefault="000D113F" w:rsidP="00562A96">
            <w:r>
              <w:t>Presupuesto de egresos pagado</w:t>
            </w:r>
          </w:p>
        </w:tc>
        <w:tc>
          <w:tcPr>
            <w:tcW w:w="4414" w:type="dxa"/>
          </w:tcPr>
          <w:p w:rsidR="000D113F" w:rsidRPr="00387050" w:rsidRDefault="00387050" w:rsidP="005F5469">
            <w:pPr>
              <w:jc w:val="right"/>
            </w:pPr>
            <w:r w:rsidRPr="00387050">
              <w:t xml:space="preserve">$ </w:t>
            </w:r>
            <w:r w:rsidR="00977912">
              <w:t>24</w:t>
            </w:r>
            <w:r w:rsidRPr="00387050">
              <w:t>,</w:t>
            </w:r>
            <w:r w:rsidR="00977912">
              <w:t>424</w:t>
            </w:r>
            <w:r w:rsidRPr="00387050">
              <w:t>,</w:t>
            </w:r>
            <w:r w:rsidR="00977912">
              <w:t>432</w:t>
            </w:r>
            <w:r w:rsidRPr="00387050">
              <w:t>.</w:t>
            </w:r>
            <w:r w:rsidR="00977912">
              <w:t>21</w:t>
            </w:r>
          </w:p>
        </w:tc>
      </w:tr>
      <w:tr w:rsidR="000D113F" w:rsidTr="00853A77">
        <w:tc>
          <w:tcPr>
            <w:tcW w:w="4414" w:type="dxa"/>
          </w:tcPr>
          <w:p w:rsidR="000D113F" w:rsidRDefault="000D113F" w:rsidP="00562A96">
            <w:r>
              <w:t>Presupuesto de egresos por ejercer</w:t>
            </w:r>
          </w:p>
        </w:tc>
        <w:tc>
          <w:tcPr>
            <w:tcW w:w="4414" w:type="dxa"/>
          </w:tcPr>
          <w:p w:rsidR="000D113F" w:rsidRPr="00387050" w:rsidRDefault="00387050" w:rsidP="005F5469">
            <w:pPr>
              <w:jc w:val="right"/>
            </w:pPr>
            <w:r w:rsidRPr="00387050">
              <w:t>$</w:t>
            </w:r>
            <w:r w:rsidR="00977912">
              <w:t>93</w:t>
            </w:r>
            <w:r w:rsidRPr="00387050">
              <w:t>,</w:t>
            </w:r>
            <w:r w:rsidR="00977912">
              <w:t>212</w:t>
            </w:r>
            <w:r w:rsidRPr="00387050">
              <w:t>.</w:t>
            </w:r>
            <w:r w:rsidR="00977912">
              <w:t>81</w:t>
            </w:r>
          </w:p>
        </w:tc>
      </w:tr>
    </w:tbl>
    <w:p w:rsidR="00853A77" w:rsidRDefault="00853A77" w:rsidP="00853A77">
      <w:pPr>
        <w:jc w:val="center"/>
        <w:rPr>
          <w:u w:val="single"/>
        </w:rPr>
      </w:pPr>
    </w:p>
    <w:p w:rsidR="00C40CCF" w:rsidRDefault="00C40CCF" w:rsidP="00257D7A">
      <w:pPr>
        <w:jc w:val="both"/>
      </w:pPr>
    </w:p>
    <w:p w:rsidR="00BC5DBD" w:rsidRDefault="00BC5DBD" w:rsidP="000D113F"/>
    <w:p w:rsidR="00CE0A69" w:rsidRPr="000D113F" w:rsidRDefault="00CE0A69" w:rsidP="000D113F"/>
    <w:p w:rsidR="00A02F33" w:rsidRPr="00441445" w:rsidRDefault="00A02F33" w:rsidP="00486B62">
      <w:pPr>
        <w:pStyle w:val="Prrafodelista"/>
        <w:numPr>
          <w:ilvl w:val="0"/>
          <w:numId w:val="1"/>
        </w:numPr>
        <w:shd w:val="clear" w:color="auto" w:fill="BFBFBF" w:themeFill="background1" w:themeFillShade="BF"/>
        <w:jc w:val="center"/>
        <w:rPr>
          <w:b/>
          <w:u w:val="single"/>
        </w:rPr>
      </w:pPr>
      <w:r w:rsidRPr="00441445">
        <w:rPr>
          <w:b/>
          <w:u w:val="single"/>
        </w:rPr>
        <w:t>NOTAS DE GESTIÓN ADMINISTRATIVA</w:t>
      </w:r>
    </w:p>
    <w:p w:rsidR="00BC5DBD" w:rsidRPr="00BC5DBD" w:rsidRDefault="00BC5DBD" w:rsidP="00BC5DBD">
      <w:pPr>
        <w:jc w:val="center"/>
        <w:rPr>
          <w:u w:val="single"/>
        </w:rPr>
      </w:pPr>
    </w:p>
    <w:p w:rsidR="00BC5DBD" w:rsidRDefault="00BC5DBD" w:rsidP="00BC5DBD">
      <w:pPr>
        <w:pStyle w:val="Prrafodelista"/>
        <w:numPr>
          <w:ilvl w:val="0"/>
          <w:numId w:val="4"/>
        </w:numPr>
        <w:rPr>
          <w:u w:val="single"/>
        </w:rPr>
      </w:pPr>
      <w:r w:rsidRPr="00BC5DBD">
        <w:rPr>
          <w:u w:val="single"/>
        </w:rPr>
        <w:t>INTRODUCCIÓN</w:t>
      </w:r>
    </w:p>
    <w:p w:rsidR="006054AC" w:rsidRPr="006054AC" w:rsidRDefault="00FF3467" w:rsidP="00257D7A">
      <w:pPr>
        <w:ind w:left="708"/>
        <w:jc w:val="both"/>
        <w:rPr>
          <w:u w:val="single"/>
        </w:rPr>
      </w:pPr>
      <w:r>
        <w:t>El Tribunal Electoral del Estado de Querétaro, es el órgano público autónomo, de carácter permanente, con personalidad jurídica y patrimonio propios, independiente en sus decisiones y máxima autoridad jurisdiccional en la materia, con la jurisdicción y competencia que determin</w:t>
      </w:r>
      <w:r w:rsidR="0089429B">
        <w:t>a</w:t>
      </w:r>
      <w:r>
        <w:t xml:space="preserve"> la Constitución </w:t>
      </w:r>
      <w:r w:rsidR="0089429B">
        <w:t>Política de los Estados Unidos Mexicanos</w:t>
      </w:r>
      <w:r w:rsidR="00A97916">
        <w:t xml:space="preserve"> (</w:t>
      </w:r>
      <w:r w:rsidR="00A97916" w:rsidRPr="00065672">
        <w:t>artículo 116, fracción IV, inciso C, párrafo quinto</w:t>
      </w:r>
      <w:r w:rsidR="00A97916">
        <w:t xml:space="preserve">), la Constitución Política del Estado de Querétaro </w:t>
      </w:r>
      <w:r w:rsidR="00A97916" w:rsidRPr="00F56AC5">
        <w:t>(artículo 32 párrafos primero y segundo),</w:t>
      </w:r>
      <w:r w:rsidR="00A97916">
        <w:t xml:space="preserve"> la Ley Orgánica del Tribunal Electoral del Estado de Querétaro </w:t>
      </w:r>
      <w:r w:rsidR="00A97916" w:rsidRPr="00BB20F7">
        <w:t>(artículos 1, 6, 13 párrafo primero, fracciones I, II, III y XIII, y 31 párrafo primero, sección B, fracciones I, III, X y XIV)</w:t>
      </w:r>
      <w:r w:rsidR="006A7218">
        <w:t xml:space="preserve"> y</w:t>
      </w:r>
      <w:r w:rsidR="00A97916">
        <w:t xml:space="preserve"> la Ley de Medios de Impugnación en Materia Electoral del Estado de Querétaro </w:t>
      </w:r>
      <w:r w:rsidR="00A97916" w:rsidRPr="00F56AC5">
        <w:t xml:space="preserve">(artículos 2, 3, 4, 6, 7, 8, 9, 10, 14 párrafo primero, fracción II, </w:t>
      </w:r>
      <w:r w:rsidR="00907AB4" w:rsidRPr="00F56AC5">
        <w:t xml:space="preserve">y </w:t>
      </w:r>
      <w:r w:rsidR="00A97916" w:rsidRPr="00F56AC5">
        <w:t>19</w:t>
      </w:r>
      <w:r w:rsidR="00F56AC5" w:rsidRPr="00F56AC5">
        <w:t>)</w:t>
      </w:r>
      <w:r w:rsidR="006A7218">
        <w:t>.</w:t>
      </w:r>
    </w:p>
    <w:p w:rsidR="00BC5DBD" w:rsidRPr="006024DE" w:rsidRDefault="00BC5DBD" w:rsidP="00BC5DBD">
      <w:pPr>
        <w:pStyle w:val="Prrafodelista"/>
        <w:numPr>
          <w:ilvl w:val="0"/>
          <w:numId w:val="4"/>
        </w:numPr>
        <w:rPr>
          <w:u w:val="single"/>
        </w:rPr>
      </w:pPr>
      <w:r w:rsidRPr="006024DE">
        <w:rPr>
          <w:u w:val="single"/>
        </w:rPr>
        <w:t>PANORAMA ECONÓMICO Y FINANCIERO</w:t>
      </w:r>
    </w:p>
    <w:p w:rsidR="006024DE" w:rsidRDefault="006024DE" w:rsidP="006024DE">
      <w:pPr>
        <w:pStyle w:val="Prrafodelista"/>
        <w:jc w:val="both"/>
      </w:pPr>
      <w:r>
        <w:t>En atención al impacto que generan diversas condiciones nacionales e internacionales, los incrementos en los precios de los combustibles y una serie de factores coyunturales, este tribunal electoral implementó de manera inmediata medidas de contención en los ejercicios fiscales 2017 y 2018, lo cual contribuirá a un aprovechamiento responsable de sus recursos, en un marco fortalecido de austeridad y transparencia.</w:t>
      </w:r>
    </w:p>
    <w:p w:rsidR="006024DE" w:rsidRDefault="006024DE" w:rsidP="006024DE">
      <w:pPr>
        <w:pStyle w:val="Prrafodelista"/>
        <w:jc w:val="both"/>
      </w:pPr>
    </w:p>
    <w:p w:rsidR="006024DE" w:rsidRDefault="006024DE" w:rsidP="006024DE">
      <w:pPr>
        <w:pStyle w:val="Prrafodelista"/>
        <w:jc w:val="both"/>
      </w:pPr>
      <w:r>
        <w:t>Para tal efecto, se dejaron de autorizar gastos de representación, a fin de que no impacten los presupuestos de que se trata.</w:t>
      </w:r>
    </w:p>
    <w:p w:rsidR="006024DE" w:rsidRDefault="006024DE" w:rsidP="006024DE">
      <w:pPr>
        <w:pStyle w:val="Prrafodelista"/>
        <w:jc w:val="both"/>
      </w:pPr>
    </w:p>
    <w:p w:rsidR="006024DE" w:rsidRDefault="006024DE" w:rsidP="006024DE">
      <w:pPr>
        <w:pStyle w:val="Prrafodelista"/>
        <w:jc w:val="both"/>
      </w:pPr>
      <w:r>
        <w:t>No se autorizó el aumento anual del cinco por ciento a la Magistrada y Magistrados propietarios durante los ejercicios fiscales 2017, sólo al personal.</w:t>
      </w:r>
    </w:p>
    <w:p w:rsidR="006024DE" w:rsidRDefault="006024DE" w:rsidP="006024DE">
      <w:pPr>
        <w:pStyle w:val="Prrafodelista"/>
        <w:jc w:val="both"/>
      </w:pPr>
    </w:p>
    <w:p w:rsidR="006024DE" w:rsidRDefault="006024DE" w:rsidP="006024DE">
      <w:pPr>
        <w:pStyle w:val="Prrafodelista"/>
        <w:jc w:val="both"/>
      </w:pPr>
      <w:r>
        <w:t>Se racionalizan los gastos para eventos de difusión electoral de este tribunal electoral, a fin de que no impacten de manera importante los presupuestos en mención, previa aprobación del Pleno de este órgano jurisdiccional.</w:t>
      </w:r>
    </w:p>
    <w:p w:rsidR="006024DE" w:rsidRDefault="006024DE" w:rsidP="006024DE">
      <w:pPr>
        <w:pStyle w:val="Prrafodelista"/>
        <w:jc w:val="both"/>
      </w:pPr>
    </w:p>
    <w:p w:rsidR="006024DE" w:rsidRDefault="006024DE" w:rsidP="006024DE">
      <w:pPr>
        <w:pStyle w:val="Prrafodelista"/>
        <w:jc w:val="both"/>
      </w:pPr>
      <w:r>
        <w:t>Se prohíbe estrictamente a la Magistrada, Magistrados y personal del tribunal electoral efectuar llamadas a números de celulares por las líneas telefónicas de este órgano colegiado, durante los ejercicios de mérito, salvo que se realice con motivo de la función laboral y previa autorización de la Presidencia.</w:t>
      </w:r>
    </w:p>
    <w:p w:rsidR="006024DE" w:rsidRDefault="006024DE" w:rsidP="006024DE">
      <w:pPr>
        <w:pStyle w:val="Prrafodelista"/>
        <w:jc w:val="both"/>
      </w:pPr>
    </w:p>
    <w:p w:rsidR="006024DE" w:rsidRDefault="006024DE" w:rsidP="006024DE">
      <w:pPr>
        <w:pStyle w:val="Prrafodelista"/>
        <w:jc w:val="both"/>
      </w:pPr>
      <w:r>
        <w:t>Se suspendieron los gastos por concepto de seguros de gastos médicos mayores a la Magistrada y Magistrados propietarios durante los ejercicios fiscales de que se trata.</w:t>
      </w:r>
    </w:p>
    <w:p w:rsidR="006024DE" w:rsidRDefault="006024DE" w:rsidP="006024DE">
      <w:pPr>
        <w:pStyle w:val="Prrafodelista"/>
        <w:jc w:val="both"/>
      </w:pPr>
    </w:p>
    <w:p w:rsidR="005952BD" w:rsidRPr="005952BD" w:rsidRDefault="006024DE" w:rsidP="006024DE">
      <w:pPr>
        <w:pStyle w:val="Prrafodelista"/>
        <w:jc w:val="both"/>
        <w:rPr>
          <w:highlight w:val="yellow"/>
        </w:rPr>
      </w:pPr>
      <w:r>
        <w:t>Se cancelaron los viáticos por concepto de gasolina a la Magistrada, Magistrados y empleados de este órgano jurisdiccional.</w:t>
      </w:r>
    </w:p>
    <w:p w:rsidR="006D2CB0" w:rsidRPr="00A97916" w:rsidRDefault="006D2CB0" w:rsidP="006D2CB0">
      <w:pPr>
        <w:pStyle w:val="Prrafodelista"/>
        <w:rPr>
          <w:highlight w:val="yellow"/>
          <w:u w:val="single"/>
        </w:rPr>
      </w:pPr>
    </w:p>
    <w:p w:rsidR="00BC5DBD" w:rsidRDefault="00BC5DBD" w:rsidP="00BC5DBD">
      <w:pPr>
        <w:pStyle w:val="Prrafodelista"/>
        <w:numPr>
          <w:ilvl w:val="0"/>
          <w:numId w:val="4"/>
        </w:numPr>
        <w:rPr>
          <w:u w:val="single"/>
        </w:rPr>
      </w:pPr>
      <w:r>
        <w:rPr>
          <w:u w:val="single"/>
        </w:rPr>
        <w:lastRenderedPageBreak/>
        <w:t>AUTORIZACIÓN E HISTORIA</w:t>
      </w:r>
    </w:p>
    <w:p w:rsidR="00E175B4" w:rsidRDefault="00E175B4" w:rsidP="00257D7A">
      <w:pPr>
        <w:pStyle w:val="Prrafodelista"/>
        <w:jc w:val="both"/>
      </w:pPr>
      <w:r w:rsidRPr="00E175B4">
        <w:t>Somos un Tribunal autónomo, profesional e independiente del Poder Judicial, especializado en la impartición de la justicia electoral. La institución se creó formalmente en el año 2014 y declaró el inicio de sus funciones el 7 de noviembre de ese año.</w:t>
      </w:r>
    </w:p>
    <w:p w:rsidR="00082A00" w:rsidRDefault="00082A00" w:rsidP="00257D7A">
      <w:pPr>
        <w:pStyle w:val="Prrafodelista"/>
        <w:jc w:val="both"/>
      </w:pPr>
    </w:p>
    <w:p w:rsidR="003C3BEF" w:rsidRDefault="003C3BEF" w:rsidP="00257D7A">
      <w:pPr>
        <w:pStyle w:val="Prrafodelista"/>
        <w:jc w:val="both"/>
        <w:rPr>
          <w:u w:val="single"/>
        </w:rPr>
      </w:pPr>
    </w:p>
    <w:p w:rsidR="00BC5DBD" w:rsidRDefault="00BC5DBD" w:rsidP="00BC5DBD">
      <w:pPr>
        <w:pStyle w:val="Prrafodelista"/>
        <w:numPr>
          <w:ilvl w:val="0"/>
          <w:numId w:val="4"/>
        </w:numPr>
        <w:rPr>
          <w:u w:val="single"/>
        </w:rPr>
      </w:pPr>
      <w:r>
        <w:rPr>
          <w:u w:val="single"/>
        </w:rPr>
        <w:t>ORGANIZACIÓN Y OBJETO SOCIAL</w:t>
      </w:r>
    </w:p>
    <w:p w:rsidR="00E175B4" w:rsidRDefault="00E175B4" w:rsidP="00257D7A">
      <w:pPr>
        <w:pStyle w:val="Prrafodelista"/>
        <w:jc w:val="both"/>
      </w:pPr>
      <w:r w:rsidRPr="00E175B4">
        <w:t>El Tribunal está formado por tres Magistrados propietarios, designados por el Senado de la República: Mag</w:t>
      </w:r>
      <w:r>
        <w:t>istra</w:t>
      </w:r>
      <w:r w:rsidRPr="00E175B4">
        <w:t>da Gabriela Nieto Castillo, Mag</w:t>
      </w:r>
      <w:r>
        <w:t>istra</w:t>
      </w:r>
      <w:r w:rsidRPr="00E175B4">
        <w:t>do Sergio Arturo Guerrero Olvera, y Mag</w:t>
      </w:r>
      <w:r>
        <w:t>istra</w:t>
      </w:r>
      <w:r w:rsidRPr="00E175B4">
        <w:t xml:space="preserve">do Martín Silva Vázquez. Actualmente, la Presidencia del Tribunal recae en </w:t>
      </w:r>
      <w:r w:rsidR="00560EA1">
        <w:t>el</w:t>
      </w:r>
      <w:r w:rsidRPr="00E175B4">
        <w:t xml:space="preserve"> </w:t>
      </w:r>
      <w:proofErr w:type="spellStart"/>
      <w:r w:rsidRPr="00E175B4">
        <w:t>Magd</w:t>
      </w:r>
      <w:r w:rsidR="00560EA1">
        <w:t>o</w:t>
      </w:r>
      <w:proofErr w:type="spellEnd"/>
      <w:r w:rsidRPr="00E175B4">
        <w:t xml:space="preserve">. </w:t>
      </w:r>
      <w:r w:rsidR="00560EA1" w:rsidRPr="00E175B4">
        <w:t>Martín Silva Vázquez</w:t>
      </w:r>
      <w:r w:rsidRPr="00E175B4">
        <w:t>.</w:t>
      </w:r>
    </w:p>
    <w:p w:rsidR="00257D7A" w:rsidRPr="00E175B4" w:rsidRDefault="00257D7A" w:rsidP="00257D7A">
      <w:pPr>
        <w:pStyle w:val="Prrafodelista"/>
        <w:jc w:val="both"/>
      </w:pPr>
    </w:p>
    <w:p w:rsidR="00E175B4" w:rsidRDefault="00E175B4" w:rsidP="00257D7A">
      <w:pPr>
        <w:pStyle w:val="Prrafodelista"/>
        <w:jc w:val="both"/>
      </w:pPr>
      <w:r w:rsidRPr="00E175B4">
        <w:t>Además de los Magistrados Propietarios que forman el pleno, existe un cuerpo de apoyo a la función jurisdiccional, formado por la Secretaría General de Acuerdos y su Actuaría, las Ponencias de los propios Magistrados y la Oficialía de Partes. En el ámbito administrativo, la gestión de los recursos materiales, financieros y humanos del Tribunal recae en una Oficialía Mayor.</w:t>
      </w:r>
    </w:p>
    <w:p w:rsidR="00257D7A" w:rsidRPr="00E175B4" w:rsidRDefault="00257D7A" w:rsidP="00257D7A">
      <w:pPr>
        <w:pStyle w:val="Prrafodelista"/>
        <w:jc w:val="both"/>
      </w:pPr>
    </w:p>
    <w:p w:rsidR="00E175B4" w:rsidRDefault="00E175B4" w:rsidP="001D7C62">
      <w:pPr>
        <w:pStyle w:val="Prrafodelista"/>
        <w:jc w:val="both"/>
      </w:pPr>
      <w:r w:rsidRPr="00E175B4">
        <w:t>Las Coordinaciones de Comunicación Social y de Tecnologías de la Información, contribuyen en sus respectivos ámbitos al cumplimiento de nuestras funciones y objetivos institucionales.</w:t>
      </w:r>
    </w:p>
    <w:p w:rsidR="00E33CA2" w:rsidRPr="00E33CA2" w:rsidRDefault="00E33CA2" w:rsidP="00E33CA2">
      <w:pPr>
        <w:ind w:left="708"/>
      </w:pPr>
    </w:p>
    <w:p w:rsidR="00BC5DBD" w:rsidRDefault="00BC5DBD" w:rsidP="00BC5DBD">
      <w:pPr>
        <w:pStyle w:val="Prrafodelista"/>
        <w:numPr>
          <w:ilvl w:val="1"/>
          <w:numId w:val="4"/>
        </w:numPr>
        <w:rPr>
          <w:u w:val="single"/>
        </w:rPr>
      </w:pPr>
      <w:r>
        <w:rPr>
          <w:u w:val="single"/>
        </w:rPr>
        <w:t>Objeto</w:t>
      </w:r>
    </w:p>
    <w:p w:rsidR="00547A95" w:rsidRPr="00547A95" w:rsidRDefault="00547A95" w:rsidP="00257D7A">
      <w:pPr>
        <w:pStyle w:val="Prrafodelista"/>
        <w:ind w:left="1440"/>
        <w:jc w:val="both"/>
      </w:pPr>
      <w:r>
        <w:t xml:space="preserve">Garantizar los principios de constitucionalidad y legalidad de todos los aspectos y resoluciones electorales, así como otorgar tutela efectiva de los derechos político – electorales en todo el </w:t>
      </w:r>
      <w:r w:rsidR="009C3382">
        <w:t>territorio del Estado de Querétaro en el marco de nuestra competencia</w:t>
      </w:r>
      <w:r w:rsidR="00257D7A">
        <w:t>.</w:t>
      </w:r>
    </w:p>
    <w:p w:rsidR="00BC5DBD" w:rsidRDefault="00BC5DBD" w:rsidP="00BC5DBD">
      <w:pPr>
        <w:pStyle w:val="Prrafodelista"/>
        <w:numPr>
          <w:ilvl w:val="1"/>
          <w:numId w:val="4"/>
        </w:numPr>
        <w:rPr>
          <w:u w:val="single"/>
        </w:rPr>
      </w:pPr>
      <w:r>
        <w:rPr>
          <w:u w:val="single"/>
        </w:rPr>
        <w:t>Forma de gobierno</w:t>
      </w:r>
    </w:p>
    <w:p w:rsidR="009C3382" w:rsidRDefault="009C3382" w:rsidP="00257D7A">
      <w:pPr>
        <w:pStyle w:val="Prrafodelista"/>
        <w:ind w:left="1440"/>
        <w:jc w:val="both"/>
      </w:pPr>
      <w:r>
        <w:t>La máxima autoridad del Tribunal Electoral del Estado de Querétaro, está a cargo del Pleno.</w:t>
      </w:r>
    </w:p>
    <w:p w:rsidR="00257D7A" w:rsidRDefault="00257D7A" w:rsidP="00257D7A">
      <w:pPr>
        <w:pStyle w:val="Prrafodelista"/>
        <w:ind w:left="1440"/>
        <w:jc w:val="both"/>
      </w:pPr>
    </w:p>
    <w:p w:rsidR="009C3382" w:rsidRDefault="009C3382" w:rsidP="00257D7A">
      <w:pPr>
        <w:pStyle w:val="Prrafodelista"/>
        <w:ind w:left="1440"/>
        <w:jc w:val="both"/>
      </w:pPr>
      <w:r>
        <w:t>El Tribunal Electoral del Estado de Querétaro se integra como sigue: El Pleno, Secretaría General de Acuerdos, Coordinaciones, Oficialía Mayor, Comités de Información y de Adquisiciones.</w:t>
      </w:r>
    </w:p>
    <w:p w:rsidR="00257D7A" w:rsidRDefault="00257D7A" w:rsidP="00257D7A">
      <w:pPr>
        <w:pStyle w:val="Prrafodelista"/>
        <w:ind w:left="1440"/>
        <w:jc w:val="both"/>
      </w:pPr>
    </w:p>
    <w:p w:rsidR="009C3382" w:rsidRDefault="009C3382" w:rsidP="00257D7A">
      <w:pPr>
        <w:pStyle w:val="Prrafodelista"/>
        <w:ind w:left="1440"/>
        <w:jc w:val="both"/>
      </w:pPr>
      <w:r>
        <w:t>Cabe señalar que este Tribunal no cuenta con fondos de aportaciones, ni ha realizado empréstitos y solo recibe Recursos Estatales.</w:t>
      </w:r>
    </w:p>
    <w:p w:rsidR="009C3382" w:rsidRDefault="009C3382" w:rsidP="009C3382">
      <w:pPr>
        <w:pStyle w:val="Prrafodelista"/>
        <w:ind w:left="1440"/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2453"/>
        <w:gridCol w:w="2465"/>
        <w:gridCol w:w="2470"/>
      </w:tblGrid>
      <w:tr w:rsidR="00F4018A" w:rsidTr="00F4018A">
        <w:tc>
          <w:tcPr>
            <w:tcW w:w="2942" w:type="dxa"/>
          </w:tcPr>
          <w:p w:rsidR="00F4018A" w:rsidRDefault="00F4018A" w:rsidP="00F4018A">
            <w:pPr>
              <w:pStyle w:val="Prrafodelista"/>
              <w:ind w:left="0"/>
              <w:jc w:val="center"/>
            </w:pPr>
            <w:r>
              <w:t>Plazas ocupadas al inicio de enero de 2017</w:t>
            </w:r>
          </w:p>
        </w:tc>
        <w:tc>
          <w:tcPr>
            <w:tcW w:w="2943" w:type="dxa"/>
          </w:tcPr>
          <w:p w:rsidR="00F4018A" w:rsidRDefault="00F4018A" w:rsidP="00F4018A">
            <w:pPr>
              <w:pStyle w:val="Prrafodelista"/>
              <w:ind w:left="0"/>
              <w:jc w:val="center"/>
            </w:pPr>
            <w:r>
              <w:t xml:space="preserve">Plazas ocupadas al final de </w:t>
            </w:r>
            <w:r w:rsidR="00CC4B41">
              <w:t>diciembre</w:t>
            </w:r>
            <w:r>
              <w:t xml:space="preserve"> de 2017</w:t>
            </w:r>
          </w:p>
        </w:tc>
        <w:tc>
          <w:tcPr>
            <w:tcW w:w="2943" w:type="dxa"/>
          </w:tcPr>
          <w:p w:rsidR="00F4018A" w:rsidRDefault="00F4018A" w:rsidP="00F4018A">
            <w:pPr>
              <w:pStyle w:val="Prrafodelista"/>
              <w:ind w:left="0"/>
              <w:jc w:val="center"/>
            </w:pPr>
            <w:r>
              <w:t>Diferencia</w:t>
            </w:r>
          </w:p>
        </w:tc>
      </w:tr>
      <w:tr w:rsidR="00F4018A" w:rsidTr="00F4018A">
        <w:tc>
          <w:tcPr>
            <w:tcW w:w="2942" w:type="dxa"/>
          </w:tcPr>
          <w:p w:rsidR="00F4018A" w:rsidRDefault="00F4018A" w:rsidP="00F4018A">
            <w:pPr>
              <w:pStyle w:val="Prrafodelista"/>
              <w:ind w:left="0"/>
              <w:jc w:val="center"/>
            </w:pPr>
            <w:r>
              <w:t>26</w:t>
            </w:r>
          </w:p>
        </w:tc>
        <w:tc>
          <w:tcPr>
            <w:tcW w:w="2943" w:type="dxa"/>
          </w:tcPr>
          <w:p w:rsidR="00F4018A" w:rsidRDefault="00E31B30" w:rsidP="00F4018A">
            <w:pPr>
              <w:pStyle w:val="Prrafodelista"/>
              <w:ind w:left="0"/>
              <w:jc w:val="center"/>
            </w:pPr>
            <w:r>
              <w:t>31</w:t>
            </w:r>
          </w:p>
        </w:tc>
        <w:tc>
          <w:tcPr>
            <w:tcW w:w="2943" w:type="dxa"/>
          </w:tcPr>
          <w:p w:rsidR="00F4018A" w:rsidRDefault="00E31B30" w:rsidP="00F4018A">
            <w:pPr>
              <w:pStyle w:val="Prrafodelista"/>
              <w:ind w:left="0"/>
              <w:jc w:val="center"/>
            </w:pPr>
            <w:r>
              <w:t>5</w:t>
            </w:r>
          </w:p>
        </w:tc>
      </w:tr>
    </w:tbl>
    <w:p w:rsidR="00F4018A" w:rsidRDefault="00F4018A" w:rsidP="009C3382">
      <w:pPr>
        <w:pStyle w:val="Prrafodelista"/>
        <w:ind w:left="1440"/>
      </w:pPr>
    </w:p>
    <w:p w:rsidR="00082A00" w:rsidRDefault="00082A00" w:rsidP="009C3382">
      <w:pPr>
        <w:pStyle w:val="Prrafodelista"/>
        <w:ind w:left="1440"/>
      </w:pPr>
    </w:p>
    <w:p w:rsidR="00F4018A" w:rsidRPr="009C3382" w:rsidRDefault="00F4018A" w:rsidP="009C3382">
      <w:pPr>
        <w:pStyle w:val="Prrafodelista"/>
        <w:ind w:left="1440"/>
      </w:pPr>
    </w:p>
    <w:p w:rsidR="00BC5DBD" w:rsidRDefault="00BC5DBD" w:rsidP="00BC5DBD">
      <w:pPr>
        <w:pStyle w:val="Prrafodelista"/>
        <w:numPr>
          <w:ilvl w:val="0"/>
          <w:numId w:val="4"/>
        </w:numPr>
        <w:rPr>
          <w:u w:val="single"/>
        </w:rPr>
      </w:pPr>
      <w:r>
        <w:rPr>
          <w:u w:val="single"/>
        </w:rPr>
        <w:t>BASES DE PREPARACIÓN DE LOS ESTADOS FINANCIEROS</w:t>
      </w:r>
    </w:p>
    <w:p w:rsidR="00BC5DBD" w:rsidRDefault="00CF54F1" w:rsidP="00BC5DBD">
      <w:pPr>
        <w:rPr>
          <w:b/>
        </w:rPr>
      </w:pPr>
      <w:r>
        <w:rPr>
          <w:b/>
        </w:rPr>
        <w:t>Se informará sobre:</w:t>
      </w:r>
    </w:p>
    <w:p w:rsidR="00CF54F1" w:rsidRDefault="00CF54F1" w:rsidP="00BC5DBD">
      <w:r>
        <w:t>Los estados financieros han sido elaborados observando:</w:t>
      </w:r>
    </w:p>
    <w:p w:rsidR="00CF54F1" w:rsidRDefault="00CF54F1" w:rsidP="00257D7A">
      <w:pPr>
        <w:pStyle w:val="Prrafodelista"/>
        <w:numPr>
          <w:ilvl w:val="0"/>
          <w:numId w:val="5"/>
        </w:numPr>
        <w:jc w:val="both"/>
      </w:pPr>
      <w:r>
        <w:t>La normatividad emitida por el CONAC y las disposiciones legales aplicables.</w:t>
      </w:r>
    </w:p>
    <w:p w:rsidR="00CF54F1" w:rsidRDefault="00CF54F1" w:rsidP="00257D7A">
      <w:pPr>
        <w:pStyle w:val="Prrafodelista"/>
        <w:numPr>
          <w:ilvl w:val="0"/>
          <w:numId w:val="5"/>
        </w:numPr>
        <w:jc w:val="both"/>
      </w:pPr>
      <w:r>
        <w:t>La normatividad aplicada para el reconocimiento, valuación y revelación de los diferentes rubros de la información financiera, así como las bases de medición utilizadas para la elabora</w:t>
      </w:r>
      <w:r w:rsidR="00003BF9">
        <w:t>ción de los estados financieros; por ejemplo: costo histórico, valor de realización, valor razonable, valor de recuperación o cualquier otro método empleado y los criterios de aplicación de los mismos.</w:t>
      </w:r>
    </w:p>
    <w:p w:rsidR="00003BF9" w:rsidRDefault="00003BF9" w:rsidP="00257D7A">
      <w:pPr>
        <w:pStyle w:val="Prrafodelista"/>
        <w:numPr>
          <w:ilvl w:val="0"/>
          <w:numId w:val="5"/>
        </w:numPr>
        <w:jc w:val="both"/>
      </w:pPr>
      <w:r>
        <w:t>Postulados básicos</w:t>
      </w:r>
    </w:p>
    <w:p w:rsidR="00003BF9" w:rsidRDefault="00F114A7" w:rsidP="00257D7A">
      <w:pPr>
        <w:pStyle w:val="Prrafodelista"/>
        <w:numPr>
          <w:ilvl w:val="0"/>
          <w:numId w:val="5"/>
        </w:numPr>
        <w:jc w:val="both"/>
      </w:pPr>
      <w:r>
        <w:t>Ley G</w:t>
      </w:r>
      <w:r w:rsidR="00003BF9">
        <w:t xml:space="preserve">eneral de </w:t>
      </w:r>
      <w:r>
        <w:t>C</w:t>
      </w:r>
      <w:r w:rsidR="00003BF9">
        <w:t xml:space="preserve">ontabilidad </w:t>
      </w:r>
      <w:r>
        <w:t>G</w:t>
      </w:r>
      <w:r w:rsidR="00003BF9">
        <w:t>ubernamental</w:t>
      </w:r>
    </w:p>
    <w:p w:rsidR="001B72D3" w:rsidRDefault="001B72D3" w:rsidP="00257D7A">
      <w:pPr>
        <w:pStyle w:val="Prrafodelista"/>
        <w:numPr>
          <w:ilvl w:val="0"/>
          <w:numId w:val="5"/>
        </w:numPr>
        <w:jc w:val="both"/>
      </w:pPr>
      <w:r>
        <w:t>Manual Único de Contabilidad Gubernamental</w:t>
      </w:r>
    </w:p>
    <w:p w:rsidR="00F114A7" w:rsidRDefault="00F114A7" w:rsidP="00257D7A">
      <w:pPr>
        <w:pStyle w:val="Prrafodelista"/>
        <w:numPr>
          <w:ilvl w:val="0"/>
          <w:numId w:val="5"/>
        </w:numPr>
        <w:jc w:val="both"/>
      </w:pPr>
      <w:r>
        <w:t>Normatividad y procedimientos para la administración, uso, control y registro de los recursos financieros, materiales y servicios generales del Tribunal Electoral del Estado de Querétaro.</w:t>
      </w:r>
    </w:p>
    <w:p w:rsidR="00F114A7" w:rsidRPr="00CF54F1" w:rsidRDefault="00F114A7" w:rsidP="00F114A7"/>
    <w:p w:rsidR="00BC5DBD" w:rsidRDefault="00F114A7" w:rsidP="00BC5DBD">
      <w:pPr>
        <w:pStyle w:val="Prrafodelista"/>
        <w:numPr>
          <w:ilvl w:val="0"/>
          <w:numId w:val="4"/>
        </w:numPr>
        <w:rPr>
          <w:u w:val="single"/>
        </w:rPr>
      </w:pPr>
      <w:r>
        <w:rPr>
          <w:u w:val="single"/>
        </w:rPr>
        <w:t>POLÍTICAS DE CONTABILIDAD SIGNIFICATIVAS</w:t>
      </w:r>
    </w:p>
    <w:p w:rsidR="00F114A7" w:rsidRDefault="00F114A7" w:rsidP="00F114A7">
      <w:pPr>
        <w:rPr>
          <w:b/>
        </w:rPr>
      </w:pPr>
      <w:r w:rsidRPr="00F114A7">
        <w:rPr>
          <w:b/>
        </w:rPr>
        <w:t>Se informará sobre:</w:t>
      </w:r>
    </w:p>
    <w:p w:rsidR="00F114A7" w:rsidRPr="00347C2F" w:rsidRDefault="00347C2F" w:rsidP="00257D7A">
      <w:pPr>
        <w:pStyle w:val="Prrafodelista"/>
        <w:numPr>
          <w:ilvl w:val="0"/>
          <w:numId w:val="6"/>
        </w:numPr>
        <w:jc w:val="both"/>
      </w:pPr>
      <w:r>
        <w:t>La cuenta de Bancos se encuentra representada por depósitos realizados por concepto de transferencias estatales y pagos a proveedores y por los conceptos de Servicios Personales.</w:t>
      </w:r>
    </w:p>
    <w:p w:rsidR="00F114A7" w:rsidRDefault="00F114A7" w:rsidP="00257D7A">
      <w:pPr>
        <w:pStyle w:val="Prrafodelista"/>
        <w:numPr>
          <w:ilvl w:val="0"/>
          <w:numId w:val="6"/>
        </w:numPr>
        <w:jc w:val="both"/>
      </w:pPr>
      <w:r>
        <w:t>El mobiliario y equipo de administración es registrado a su costo de adquisición o a su valor estimado derivado de un avalúo, registrando su depreciación a partir del mes siguiente de la adquisición aplicando las tazas aprobadas en el Manual Único de Contabilidad Gubernamental.</w:t>
      </w:r>
    </w:p>
    <w:p w:rsidR="00F114A7" w:rsidRDefault="00F114A7" w:rsidP="00257D7A">
      <w:pPr>
        <w:pStyle w:val="Prrafodelista"/>
        <w:numPr>
          <w:ilvl w:val="0"/>
          <w:numId w:val="6"/>
        </w:numPr>
        <w:jc w:val="both"/>
      </w:pPr>
      <w:r>
        <w:t>Considerando lo previsto en el Manual Único de Contabilidad Gubernamental, el Tribunal no realiza provisiones para faltantes de inventarios y cuentas incobrables.</w:t>
      </w:r>
    </w:p>
    <w:p w:rsidR="00F114A7" w:rsidRDefault="00F114A7" w:rsidP="00257D7A">
      <w:pPr>
        <w:pStyle w:val="Prrafodelista"/>
        <w:numPr>
          <w:ilvl w:val="0"/>
          <w:numId w:val="6"/>
        </w:numPr>
        <w:jc w:val="both"/>
      </w:pPr>
      <w:r>
        <w:t>La depuración y cancelación de saldos se registra exclusivamente mediante la autorización y consideración del Pleno del Tribunal.</w:t>
      </w:r>
    </w:p>
    <w:p w:rsidR="00F114A7" w:rsidRDefault="00F114A7" w:rsidP="00F114A7"/>
    <w:p w:rsidR="00F114A7" w:rsidRPr="00F114A7" w:rsidRDefault="00F114A7" w:rsidP="00F114A7">
      <w:pPr>
        <w:pStyle w:val="Prrafodelista"/>
        <w:numPr>
          <w:ilvl w:val="0"/>
          <w:numId w:val="4"/>
        </w:numPr>
      </w:pPr>
      <w:r>
        <w:rPr>
          <w:u w:val="single"/>
        </w:rPr>
        <w:t>POSICIÓN EN MONEDA EXTRANJERA Y PROTECCIÓN POR RIESGO CAMBIARIO</w:t>
      </w:r>
    </w:p>
    <w:p w:rsidR="00F114A7" w:rsidRDefault="00F114A7" w:rsidP="00F114A7">
      <w:pPr>
        <w:rPr>
          <w:b/>
        </w:rPr>
      </w:pPr>
      <w:r w:rsidRPr="00F114A7">
        <w:rPr>
          <w:b/>
        </w:rPr>
        <w:t>Se informará sobre:</w:t>
      </w:r>
    </w:p>
    <w:p w:rsidR="00323B16" w:rsidRDefault="00D41C4B" w:rsidP="00323B16">
      <w:pPr>
        <w:pStyle w:val="Prrafodelista"/>
        <w:numPr>
          <w:ilvl w:val="0"/>
          <w:numId w:val="7"/>
        </w:numPr>
      </w:pPr>
      <w:r>
        <w:t>El Tribunal Electoral del Estado de Querétaro, no llevó a cabo actividades que generen registros en moneda extranjera.</w:t>
      </w:r>
    </w:p>
    <w:p w:rsidR="00323B16" w:rsidRDefault="00323B16" w:rsidP="00323B16">
      <w:pPr>
        <w:pStyle w:val="Prrafodelista"/>
      </w:pPr>
    </w:p>
    <w:p w:rsidR="00D41C4B" w:rsidRDefault="00D41C4B" w:rsidP="00D41C4B">
      <w:pPr>
        <w:pStyle w:val="Prrafodelista"/>
        <w:numPr>
          <w:ilvl w:val="0"/>
          <w:numId w:val="4"/>
        </w:numPr>
      </w:pPr>
      <w:r>
        <w:rPr>
          <w:u w:val="single"/>
        </w:rPr>
        <w:t>REPORTE ANALÍTICO DEL ACTIVO</w:t>
      </w:r>
    </w:p>
    <w:p w:rsidR="00D41C4B" w:rsidRDefault="00D41C4B" w:rsidP="00257D7A">
      <w:pPr>
        <w:pStyle w:val="Prrafodelista"/>
        <w:numPr>
          <w:ilvl w:val="0"/>
          <w:numId w:val="8"/>
        </w:numPr>
        <w:jc w:val="both"/>
      </w:pPr>
      <w:r>
        <w:lastRenderedPageBreak/>
        <w:t>La depreciación se calcula mediante el método de línea recta a partir del mes siguiente de la adquisición aplicando las tazas aprobadas en el Manual Único de Contabilidad Gubernamental: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32"/>
        <w:gridCol w:w="3132"/>
      </w:tblGrid>
      <w:tr w:rsidR="00D41C4B" w:rsidTr="00547845">
        <w:trPr>
          <w:trHeight w:val="261"/>
          <w:jc w:val="center"/>
        </w:trPr>
        <w:tc>
          <w:tcPr>
            <w:tcW w:w="3132" w:type="dxa"/>
          </w:tcPr>
          <w:p w:rsidR="00D41C4B" w:rsidRPr="00FE01A0" w:rsidRDefault="00D41C4B" w:rsidP="00547845">
            <w:pPr>
              <w:jc w:val="center"/>
              <w:rPr>
                <w:b/>
              </w:rPr>
            </w:pPr>
            <w:r w:rsidRPr="00FE01A0">
              <w:rPr>
                <w:b/>
              </w:rPr>
              <w:t>BIENES</w:t>
            </w:r>
          </w:p>
        </w:tc>
        <w:tc>
          <w:tcPr>
            <w:tcW w:w="3132" w:type="dxa"/>
          </w:tcPr>
          <w:p w:rsidR="00D41C4B" w:rsidRPr="00FE01A0" w:rsidRDefault="00D41C4B" w:rsidP="00547845">
            <w:pPr>
              <w:jc w:val="center"/>
              <w:rPr>
                <w:b/>
              </w:rPr>
            </w:pPr>
            <w:r w:rsidRPr="00FE01A0">
              <w:rPr>
                <w:b/>
              </w:rPr>
              <w:t>PORCENTAJE</w:t>
            </w:r>
          </w:p>
        </w:tc>
      </w:tr>
      <w:tr w:rsidR="00D41C4B" w:rsidTr="00547845">
        <w:trPr>
          <w:trHeight w:val="247"/>
          <w:jc w:val="center"/>
        </w:trPr>
        <w:tc>
          <w:tcPr>
            <w:tcW w:w="3132" w:type="dxa"/>
          </w:tcPr>
          <w:p w:rsidR="00D41C4B" w:rsidRDefault="00D41C4B" w:rsidP="00547845">
            <w:r>
              <w:t>Vehículos</w:t>
            </w:r>
          </w:p>
        </w:tc>
        <w:tc>
          <w:tcPr>
            <w:tcW w:w="3132" w:type="dxa"/>
          </w:tcPr>
          <w:p w:rsidR="00D41C4B" w:rsidRDefault="00D41C4B" w:rsidP="00547845">
            <w:pPr>
              <w:jc w:val="center"/>
            </w:pPr>
            <w:r>
              <w:t>10%</w:t>
            </w:r>
          </w:p>
        </w:tc>
      </w:tr>
      <w:tr w:rsidR="00D41C4B" w:rsidTr="00547845">
        <w:trPr>
          <w:trHeight w:val="261"/>
          <w:jc w:val="center"/>
        </w:trPr>
        <w:tc>
          <w:tcPr>
            <w:tcW w:w="3132" w:type="dxa"/>
          </w:tcPr>
          <w:p w:rsidR="00D41C4B" w:rsidRDefault="00D41C4B" w:rsidP="00547845">
            <w:r>
              <w:t>Equipo de cómputo</w:t>
            </w:r>
          </w:p>
        </w:tc>
        <w:tc>
          <w:tcPr>
            <w:tcW w:w="3132" w:type="dxa"/>
          </w:tcPr>
          <w:p w:rsidR="00D41C4B" w:rsidRDefault="00D41C4B" w:rsidP="00547845">
            <w:pPr>
              <w:jc w:val="center"/>
            </w:pPr>
            <w:r>
              <w:t>20%</w:t>
            </w:r>
          </w:p>
        </w:tc>
      </w:tr>
      <w:tr w:rsidR="00D41C4B" w:rsidTr="00547845">
        <w:trPr>
          <w:trHeight w:val="261"/>
          <w:jc w:val="center"/>
        </w:trPr>
        <w:tc>
          <w:tcPr>
            <w:tcW w:w="3132" w:type="dxa"/>
          </w:tcPr>
          <w:p w:rsidR="00D41C4B" w:rsidRDefault="00D41C4B" w:rsidP="00547845">
            <w:r>
              <w:t>Mobiliario y equipo de oficina</w:t>
            </w:r>
          </w:p>
        </w:tc>
        <w:tc>
          <w:tcPr>
            <w:tcW w:w="3132" w:type="dxa"/>
          </w:tcPr>
          <w:p w:rsidR="00D41C4B" w:rsidRDefault="00D41C4B" w:rsidP="00547845">
            <w:pPr>
              <w:jc w:val="center"/>
            </w:pPr>
            <w:r>
              <w:t>3%</w:t>
            </w:r>
          </w:p>
        </w:tc>
      </w:tr>
      <w:tr w:rsidR="00D41C4B" w:rsidTr="00547845">
        <w:trPr>
          <w:trHeight w:val="247"/>
          <w:jc w:val="center"/>
        </w:trPr>
        <w:tc>
          <w:tcPr>
            <w:tcW w:w="3132" w:type="dxa"/>
          </w:tcPr>
          <w:p w:rsidR="00D41C4B" w:rsidRDefault="00D41C4B" w:rsidP="00547845">
            <w:r>
              <w:t>Edificios</w:t>
            </w:r>
          </w:p>
        </w:tc>
        <w:tc>
          <w:tcPr>
            <w:tcW w:w="3132" w:type="dxa"/>
          </w:tcPr>
          <w:p w:rsidR="00D41C4B" w:rsidRDefault="00D41C4B" w:rsidP="00547845">
            <w:pPr>
              <w:jc w:val="center"/>
            </w:pPr>
            <w:r>
              <w:t>2%</w:t>
            </w:r>
          </w:p>
        </w:tc>
      </w:tr>
      <w:tr w:rsidR="00D41C4B" w:rsidTr="00547845">
        <w:trPr>
          <w:trHeight w:val="261"/>
          <w:jc w:val="center"/>
        </w:trPr>
        <w:tc>
          <w:tcPr>
            <w:tcW w:w="3132" w:type="dxa"/>
          </w:tcPr>
          <w:p w:rsidR="00D41C4B" w:rsidRDefault="00D41C4B" w:rsidP="00547845">
            <w:r>
              <w:t>Maquinaria</w:t>
            </w:r>
          </w:p>
        </w:tc>
        <w:tc>
          <w:tcPr>
            <w:tcW w:w="3132" w:type="dxa"/>
          </w:tcPr>
          <w:p w:rsidR="00D41C4B" w:rsidRDefault="00D41C4B" w:rsidP="00547845">
            <w:pPr>
              <w:jc w:val="center"/>
            </w:pPr>
            <w:r>
              <w:t>10%</w:t>
            </w:r>
          </w:p>
        </w:tc>
      </w:tr>
      <w:tr w:rsidR="00D41C4B" w:rsidTr="00547845">
        <w:trPr>
          <w:trHeight w:val="247"/>
          <w:jc w:val="center"/>
        </w:trPr>
        <w:tc>
          <w:tcPr>
            <w:tcW w:w="3132" w:type="dxa"/>
          </w:tcPr>
          <w:p w:rsidR="00D41C4B" w:rsidRDefault="00D41C4B" w:rsidP="00547845">
            <w:r>
              <w:t>El resto</w:t>
            </w:r>
          </w:p>
        </w:tc>
        <w:tc>
          <w:tcPr>
            <w:tcW w:w="3132" w:type="dxa"/>
          </w:tcPr>
          <w:p w:rsidR="00D41C4B" w:rsidRDefault="00D41C4B" w:rsidP="00547845">
            <w:pPr>
              <w:jc w:val="center"/>
            </w:pPr>
            <w:r>
              <w:t>10%</w:t>
            </w:r>
          </w:p>
        </w:tc>
      </w:tr>
    </w:tbl>
    <w:p w:rsidR="00D41C4B" w:rsidRDefault="00D41C4B" w:rsidP="00257D7A">
      <w:pPr>
        <w:pStyle w:val="Prrafodelista"/>
        <w:numPr>
          <w:ilvl w:val="0"/>
          <w:numId w:val="8"/>
        </w:numPr>
        <w:jc w:val="both"/>
      </w:pPr>
      <w:r>
        <w:t>El activo de capitaliza a partir de lo establecido en el Manual Único de Contabilidad Gubernamental, cuyo costo sea mayor a 35 unidades de medida y actualización.</w:t>
      </w:r>
    </w:p>
    <w:p w:rsidR="00323B16" w:rsidRDefault="00323B16" w:rsidP="00323B16">
      <w:pPr>
        <w:pStyle w:val="Prrafodelista"/>
      </w:pPr>
    </w:p>
    <w:p w:rsidR="00D41C4B" w:rsidRPr="00D41C4B" w:rsidRDefault="00D41C4B" w:rsidP="00D41C4B">
      <w:pPr>
        <w:pStyle w:val="Prrafodelista"/>
        <w:numPr>
          <w:ilvl w:val="0"/>
          <w:numId w:val="4"/>
        </w:numPr>
      </w:pPr>
      <w:r>
        <w:rPr>
          <w:u w:val="single"/>
        </w:rPr>
        <w:t>FIDEICOMISOS, MANDATOS Y ANÁLOGOS</w:t>
      </w:r>
    </w:p>
    <w:p w:rsidR="00D41C4B" w:rsidRDefault="00D41C4B" w:rsidP="00D41C4B">
      <w:r>
        <w:t>No aplica</w:t>
      </w:r>
    </w:p>
    <w:p w:rsidR="00D41C4B" w:rsidRPr="00D41C4B" w:rsidRDefault="00D41C4B" w:rsidP="00D41C4B">
      <w:pPr>
        <w:pStyle w:val="Prrafodelista"/>
        <w:numPr>
          <w:ilvl w:val="0"/>
          <w:numId w:val="4"/>
        </w:numPr>
      </w:pPr>
      <w:r>
        <w:rPr>
          <w:u w:val="single"/>
        </w:rPr>
        <w:t>REPORTE DE RECAUDACIÓN</w:t>
      </w:r>
    </w:p>
    <w:p w:rsidR="00D41C4B" w:rsidRDefault="00D41C4B" w:rsidP="00317A67">
      <w:pPr>
        <w:ind w:left="708" w:hanging="708"/>
      </w:pPr>
      <w:r>
        <w:t>No aplica</w:t>
      </w:r>
    </w:p>
    <w:p w:rsidR="00D41C4B" w:rsidRPr="00D41C4B" w:rsidRDefault="00D41C4B" w:rsidP="00D41C4B">
      <w:pPr>
        <w:pStyle w:val="Prrafodelista"/>
        <w:numPr>
          <w:ilvl w:val="0"/>
          <w:numId w:val="4"/>
        </w:numPr>
      </w:pPr>
      <w:r>
        <w:rPr>
          <w:u w:val="single"/>
        </w:rPr>
        <w:t>INFORMACIÓN SOBRE LA DEUDA Y EL REPORTE ANALÍTICO DE LA DEUDA</w:t>
      </w:r>
    </w:p>
    <w:p w:rsidR="00D41C4B" w:rsidRDefault="00D41C4B" w:rsidP="00D41C4B">
      <w:r>
        <w:t>No aplica</w:t>
      </w:r>
    </w:p>
    <w:p w:rsidR="00D41C4B" w:rsidRPr="00D41C4B" w:rsidRDefault="00D41C4B" w:rsidP="00D41C4B">
      <w:pPr>
        <w:pStyle w:val="Prrafodelista"/>
        <w:numPr>
          <w:ilvl w:val="0"/>
          <w:numId w:val="4"/>
        </w:numPr>
      </w:pPr>
      <w:r>
        <w:rPr>
          <w:u w:val="single"/>
        </w:rPr>
        <w:t>CALIFICACIONES OTORGADAS</w:t>
      </w:r>
    </w:p>
    <w:p w:rsidR="00D41C4B" w:rsidRDefault="00D41C4B" w:rsidP="00D41C4B">
      <w:r>
        <w:t>No aplica</w:t>
      </w:r>
    </w:p>
    <w:p w:rsidR="00D41C4B" w:rsidRPr="00D41C4B" w:rsidRDefault="00D41C4B" w:rsidP="00D41C4B">
      <w:pPr>
        <w:pStyle w:val="Prrafodelista"/>
        <w:numPr>
          <w:ilvl w:val="0"/>
          <w:numId w:val="4"/>
        </w:numPr>
      </w:pPr>
      <w:r>
        <w:rPr>
          <w:u w:val="single"/>
        </w:rPr>
        <w:t>PROCESOS DE MEJORA</w:t>
      </w:r>
    </w:p>
    <w:p w:rsidR="00D41C4B" w:rsidRDefault="00D41C4B" w:rsidP="00257D7A">
      <w:pPr>
        <w:jc w:val="both"/>
      </w:pPr>
      <w:r>
        <w:t>Durante el ejercicio 2017, el Tribunal Electoral del Estado de Querétaro, atendiendo al artículo 67 de la Ley de Contabilidad Gubernamental, ha mantenido los pagos a proveedores de manera electrónica.</w:t>
      </w:r>
    </w:p>
    <w:p w:rsidR="00D41C4B" w:rsidRPr="008E2839" w:rsidRDefault="008E2839" w:rsidP="00D41C4B">
      <w:pPr>
        <w:pStyle w:val="Prrafodelista"/>
        <w:numPr>
          <w:ilvl w:val="0"/>
          <w:numId w:val="4"/>
        </w:numPr>
      </w:pPr>
      <w:r>
        <w:rPr>
          <w:u w:val="single"/>
        </w:rPr>
        <w:t>INFORMACIÓN POR SEGMENTOS</w:t>
      </w:r>
    </w:p>
    <w:p w:rsidR="008E2839" w:rsidRDefault="008E2839" w:rsidP="008E2839">
      <w:r>
        <w:t>No aplica</w:t>
      </w:r>
    </w:p>
    <w:p w:rsidR="008E2839" w:rsidRPr="008E2839" w:rsidRDefault="008E2839" w:rsidP="008E2839">
      <w:pPr>
        <w:pStyle w:val="Prrafodelista"/>
        <w:numPr>
          <w:ilvl w:val="0"/>
          <w:numId w:val="4"/>
        </w:numPr>
      </w:pPr>
      <w:r>
        <w:rPr>
          <w:u w:val="single"/>
        </w:rPr>
        <w:t>EVENTOS POSTERIORES AL CIERRE</w:t>
      </w:r>
    </w:p>
    <w:p w:rsidR="008E2839" w:rsidRDefault="008E2839" w:rsidP="00257D7A">
      <w:pPr>
        <w:jc w:val="both"/>
      </w:pPr>
      <w:r>
        <w:t xml:space="preserve">Al cierre del mes de </w:t>
      </w:r>
      <w:r w:rsidR="00683025">
        <w:t>diciembre</w:t>
      </w:r>
      <w:r>
        <w:t xml:space="preserve"> de 2017, el Tribunal Electoral del Estado de Querétaro, no presenta ningún evento de importancia relativa que pueda alterar sus operaciones.</w:t>
      </w:r>
    </w:p>
    <w:p w:rsidR="008E2839" w:rsidRPr="008E2839" w:rsidRDefault="008E2839" w:rsidP="008E2839">
      <w:pPr>
        <w:pStyle w:val="Prrafodelista"/>
        <w:numPr>
          <w:ilvl w:val="0"/>
          <w:numId w:val="4"/>
        </w:numPr>
      </w:pPr>
      <w:r>
        <w:rPr>
          <w:u w:val="single"/>
        </w:rPr>
        <w:t>PARTES RELACIONADAS</w:t>
      </w:r>
    </w:p>
    <w:p w:rsidR="008E2839" w:rsidRDefault="008E2839" w:rsidP="00257D7A">
      <w:pPr>
        <w:jc w:val="both"/>
      </w:pPr>
      <w:r>
        <w:t>El Tribunal Electoral del Estado de Querétaro, no presenta partes relacionadas que pudieran ejercer influencia significativa sobre la toma de decisiones financieras y operativas.</w:t>
      </w:r>
    </w:p>
    <w:p w:rsidR="008E2839" w:rsidRPr="008E2839" w:rsidRDefault="008E2839" w:rsidP="008E2839">
      <w:pPr>
        <w:pStyle w:val="Prrafodelista"/>
        <w:numPr>
          <w:ilvl w:val="0"/>
          <w:numId w:val="4"/>
        </w:numPr>
      </w:pPr>
      <w:r>
        <w:rPr>
          <w:u w:val="single"/>
        </w:rPr>
        <w:t>RESPONSABILIDAD SOBRE LA PRESENTACIÓN RAZONABLE DE LOS ESTADOS FINANCIEROS</w:t>
      </w:r>
    </w:p>
    <w:p w:rsidR="008E2839" w:rsidRDefault="008E2839" w:rsidP="008E2839">
      <w:r>
        <w:lastRenderedPageBreak/>
        <w:t>“BAJO PROTESTA DE DECIR VERDAD, DECLARAMOS QUE LOS ESTADOS FINANCIEROS Y SUS NOTAS SON RAZONABLEMENTE CORRECTOS Y SON RESPONSABILIDAD DEL EMISOR”</w:t>
      </w:r>
    </w:p>
    <w:p w:rsidR="00082A00" w:rsidRDefault="00082A00" w:rsidP="008E2839"/>
    <w:p w:rsidR="008E2839" w:rsidRDefault="008E2839" w:rsidP="008E2839">
      <w:pPr>
        <w:rPr>
          <w:b/>
        </w:rPr>
      </w:pPr>
      <w:r>
        <w:rPr>
          <w:b/>
        </w:rPr>
        <w:t>INFORMACIÓN SOBRE LOS PASIVOS CONTINGENTES</w:t>
      </w:r>
    </w:p>
    <w:p w:rsidR="008E2839" w:rsidRDefault="008E2839" w:rsidP="00257D7A">
      <w:pPr>
        <w:jc w:val="both"/>
      </w:pPr>
      <w:r>
        <w:t>El Tribunal Electoral del Estado de Querétaro, no tiene registros por concepto de Pasivos Contingentes.</w:t>
      </w:r>
    </w:p>
    <w:p w:rsidR="008E2839" w:rsidRDefault="008E2839" w:rsidP="008E283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9"/>
        <w:gridCol w:w="3549"/>
      </w:tblGrid>
      <w:tr w:rsidR="008E2839" w:rsidTr="005C3C76">
        <w:trPr>
          <w:trHeight w:val="274"/>
          <w:jc w:val="center"/>
        </w:trPr>
        <w:tc>
          <w:tcPr>
            <w:tcW w:w="3549" w:type="dxa"/>
          </w:tcPr>
          <w:p w:rsidR="008E2839" w:rsidRPr="008E2839" w:rsidRDefault="008E2839" w:rsidP="008E2839">
            <w:pPr>
              <w:jc w:val="center"/>
              <w:rPr>
                <w:b/>
              </w:rPr>
            </w:pPr>
            <w:r w:rsidRPr="008E2839">
              <w:rPr>
                <w:b/>
              </w:rPr>
              <w:t>Elaboró</w:t>
            </w:r>
          </w:p>
        </w:tc>
        <w:tc>
          <w:tcPr>
            <w:tcW w:w="3549" w:type="dxa"/>
          </w:tcPr>
          <w:p w:rsidR="008E2839" w:rsidRPr="008E2839" w:rsidRDefault="008E2839" w:rsidP="008E2839">
            <w:pPr>
              <w:jc w:val="center"/>
              <w:rPr>
                <w:b/>
              </w:rPr>
            </w:pPr>
            <w:r w:rsidRPr="008E2839">
              <w:rPr>
                <w:b/>
              </w:rPr>
              <w:t>Autorizó</w:t>
            </w:r>
          </w:p>
        </w:tc>
      </w:tr>
      <w:tr w:rsidR="008E2839" w:rsidTr="005C3C76">
        <w:trPr>
          <w:trHeight w:val="534"/>
          <w:jc w:val="center"/>
        </w:trPr>
        <w:tc>
          <w:tcPr>
            <w:tcW w:w="3549" w:type="dxa"/>
          </w:tcPr>
          <w:p w:rsidR="008E2839" w:rsidRDefault="008E2839" w:rsidP="008E2839">
            <w:pPr>
              <w:jc w:val="center"/>
            </w:pPr>
            <w:r>
              <w:t>L.A.E. Fernando Reza Anaya</w:t>
            </w:r>
          </w:p>
          <w:p w:rsidR="008E2839" w:rsidRDefault="008E2839" w:rsidP="008E2839">
            <w:pPr>
              <w:jc w:val="center"/>
            </w:pPr>
            <w:r>
              <w:t>Oficial Mayor</w:t>
            </w:r>
          </w:p>
        </w:tc>
        <w:tc>
          <w:tcPr>
            <w:tcW w:w="3549" w:type="dxa"/>
          </w:tcPr>
          <w:p w:rsidR="008E2839" w:rsidRDefault="00082A00" w:rsidP="008E2839">
            <w:pPr>
              <w:jc w:val="center"/>
            </w:pPr>
            <w:r>
              <w:t>Mtro. Martín Silva Vázquez</w:t>
            </w:r>
          </w:p>
          <w:p w:rsidR="008E2839" w:rsidRDefault="008E2839" w:rsidP="008E2839">
            <w:pPr>
              <w:jc w:val="center"/>
            </w:pPr>
            <w:r>
              <w:t>Magistrad</w:t>
            </w:r>
            <w:r w:rsidR="00082A00">
              <w:t>o</w:t>
            </w:r>
            <w:r>
              <w:t xml:space="preserve"> </w:t>
            </w:r>
            <w:proofErr w:type="gramStart"/>
            <w:r>
              <w:t>President</w:t>
            </w:r>
            <w:r w:rsidR="00082A00">
              <w:t>e</w:t>
            </w:r>
            <w:proofErr w:type="gramEnd"/>
          </w:p>
        </w:tc>
      </w:tr>
    </w:tbl>
    <w:p w:rsidR="008E2839" w:rsidRPr="008E2839" w:rsidRDefault="008E2839" w:rsidP="008E2839"/>
    <w:sectPr w:rsidR="008E2839" w:rsidRPr="008E283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821" w:rsidRDefault="00DE3821" w:rsidP="00A02F33">
      <w:pPr>
        <w:spacing w:after="0" w:line="240" w:lineRule="auto"/>
      </w:pPr>
      <w:r>
        <w:separator/>
      </w:r>
    </w:p>
  </w:endnote>
  <w:endnote w:type="continuationSeparator" w:id="0">
    <w:p w:rsidR="00DE3821" w:rsidRDefault="00DE3821" w:rsidP="00A0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821" w:rsidRDefault="00DE3821" w:rsidP="00A02F33">
      <w:pPr>
        <w:spacing w:after="0" w:line="240" w:lineRule="auto"/>
      </w:pPr>
      <w:r>
        <w:separator/>
      </w:r>
    </w:p>
  </w:footnote>
  <w:footnote w:type="continuationSeparator" w:id="0">
    <w:p w:rsidR="00DE3821" w:rsidRDefault="00DE3821" w:rsidP="00A0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224" w:rsidRDefault="00663224" w:rsidP="00827A8F">
    <w:pPr>
      <w:pStyle w:val="Encabezado"/>
      <w:tabs>
        <w:tab w:val="clear" w:pos="4419"/>
        <w:tab w:val="clear" w:pos="8838"/>
        <w:tab w:val="left" w:pos="591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-125730</wp:posOffset>
          </wp:positionV>
          <wp:extent cx="1102895" cy="57150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cor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89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5AEA"/>
    <w:multiLevelType w:val="hybridMultilevel"/>
    <w:tmpl w:val="9E464D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0A65"/>
    <w:multiLevelType w:val="hybridMultilevel"/>
    <w:tmpl w:val="2AD469E6"/>
    <w:lvl w:ilvl="0" w:tplc="B70831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4412F"/>
    <w:multiLevelType w:val="hybridMultilevel"/>
    <w:tmpl w:val="AB5424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B4979"/>
    <w:multiLevelType w:val="hybridMultilevel"/>
    <w:tmpl w:val="68482B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51476"/>
    <w:multiLevelType w:val="hybridMultilevel"/>
    <w:tmpl w:val="A5D0C186"/>
    <w:lvl w:ilvl="0" w:tplc="EBD87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967DF"/>
    <w:multiLevelType w:val="hybridMultilevel"/>
    <w:tmpl w:val="899C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97354"/>
    <w:multiLevelType w:val="hybridMultilevel"/>
    <w:tmpl w:val="A1D6FD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97930"/>
    <w:multiLevelType w:val="hybridMultilevel"/>
    <w:tmpl w:val="0A6E8F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2B7D"/>
    <w:multiLevelType w:val="hybridMultilevel"/>
    <w:tmpl w:val="F6BE8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33"/>
    <w:rsid w:val="00003BF9"/>
    <w:rsid w:val="00065672"/>
    <w:rsid w:val="00082A00"/>
    <w:rsid w:val="000A2995"/>
    <w:rsid w:val="000D113F"/>
    <w:rsid w:val="000F15DF"/>
    <w:rsid w:val="00123FA0"/>
    <w:rsid w:val="0013598A"/>
    <w:rsid w:val="001374EA"/>
    <w:rsid w:val="00156F58"/>
    <w:rsid w:val="001867CA"/>
    <w:rsid w:val="001B72D3"/>
    <w:rsid w:val="001D7C62"/>
    <w:rsid w:val="001F0B45"/>
    <w:rsid w:val="00257D7A"/>
    <w:rsid w:val="00265F19"/>
    <w:rsid w:val="00273128"/>
    <w:rsid w:val="00275749"/>
    <w:rsid w:val="002820A4"/>
    <w:rsid w:val="002A5242"/>
    <w:rsid w:val="002C52A7"/>
    <w:rsid w:val="00302FC8"/>
    <w:rsid w:val="00317A67"/>
    <w:rsid w:val="00323B16"/>
    <w:rsid w:val="00344C62"/>
    <w:rsid w:val="00345D9F"/>
    <w:rsid w:val="00347C2F"/>
    <w:rsid w:val="003540F0"/>
    <w:rsid w:val="00373B62"/>
    <w:rsid w:val="00387050"/>
    <w:rsid w:val="003C3BEF"/>
    <w:rsid w:val="003D610E"/>
    <w:rsid w:val="00441445"/>
    <w:rsid w:val="004656CE"/>
    <w:rsid w:val="004859B5"/>
    <w:rsid w:val="00486B62"/>
    <w:rsid w:val="004A6DC1"/>
    <w:rsid w:val="00547845"/>
    <w:rsid w:val="00547A95"/>
    <w:rsid w:val="0055701F"/>
    <w:rsid w:val="00560EA1"/>
    <w:rsid w:val="00562A96"/>
    <w:rsid w:val="0057186E"/>
    <w:rsid w:val="00573A1D"/>
    <w:rsid w:val="005952BD"/>
    <w:rsid w:val="005C3C76"/>
    <w:rsid w:val="005D17FC"/>
    <w:rsid w:val="005D1EFE"/>
    <w:rsid w:val="005F5469"/>
    <w:rsid w:val="005F76FD"/>
    <w:rsid w:val="005F78AB"/>
    <w:rsid w:val="006024DE"/>
    <w:rsid w:val="006032C2"/>
    <w:rsid w:val="006054AC"/>
    <w:rsid w:val="00610622"/>
    <w:rsid w:val="00652F76"/>
    <w:rsid w:val="00663224"/>
    <w:rsid w:val="00666CF0"/>
    <w:rsid w:val="006728DA"/>
    <w:rsid w:val="006764B2"/>
    <w:rsid w:val="00683025"/>
    <w:rsid w:val="006A7218"/>
    <w:rsid w:val="006D2CB0"/>
    <w:rsid w:val="006F2A35"/>
    <w:rsid w:val="0071678B"/>
    <w:rsid w:val="00730AFC"/>
    <w:rsid w:val="00735B04"/>
    <w:rsid w:val="007541AB"/>
    <w:rsid w:val="007B769C"/>
    <w:rsid w:val="007E1ED3"/>
    <w:rsid w:val="007E669A"/>
    <w:rsid w:val="00827A8F"/>
    <w:rsid w:val="00830254"/>
    <w:rsid w:val="0085264A"/>
    <w:rsid w:val="00853A77"/>
    <w:rsid w:val="0085479E"/>
    <w:rsid w:val="008608C5"/>
    <w:rsid w:val="00867206"/>
    <w:rsid w:val="00891A7B"/>
    <w:rsid w:val="0089429B"/>
    <w:rsid w:val="008A1667"/>
    <w:rsid w:val="008E2839"/>
    <w:rsid w:val="008E7999"/>
    <w:rsid w:val="00907AB4"/>
    <w:rsid w:val="00977912"/>
    <w:rsid w:val="009C3382"/>
    <w:rsid w:val="009D2576"/>
    <w:rsid w:val="009E36BA"/>
    <w:rsid w:val="009F4803"/>
    <w:rsid w:val="00A02F33"/>
    <w:rsid w:val="00A101F9"/>
    <w:rsid w:val="00A12691"/>
    <w:rsid w:val="00A754CA"/>
    <w:rsid w:val="00A97916"/>
    <w:rsid w:val="00AB327E"/>
    <w:rsid w:val="00AB5945"/>
    <w:rsid w:val="00AC0573"/>
    <w:rsid w:val="00AC4585"/>
    <w:rsid w:val="00AD5EF5"/>
    <w:rsid w:val="00AD613E"/>
    <w:rsid w:val="00B3244A"/>
    <w:rsid w:val="00B35C96"/>
    <w:rsid w:val="00B67DB6"/>
    <w:rsid w:val="00BA0D41"/>
    <w:rsid w:val="00BB20F7"/>
    <w:rsid w:val="00BC5DBD"/>
    <w:rsid w:val="00BD00CC"/>
    <w:rsid w:val="00C34181"/>
    <w:rsid w:val="00C40CCF"/>
    <w:rsid w:val="00C5046D"/>
    <w:rsid w:val="00C52078"/>
    <w:rsid w:val="00C57165"/>
    <w:rsid w:val="00C60C99"/>
    <w:rsid w:val="00C70096"/>
    <w:rsid w:val="00C8759B"/>
    <w:rsid w:val="00CC4B41"/>
    <w:rsid w:val="00CD1E7A"/>
    <w:rsid w:val="00CE0A69"/>
    <w:rsid w:val="00CF54F1"/>
    <w:rsid w:val="00D0693D"/>
    <w:rsid w:val="00D11884"/>
    <w:rsid w:val="00D12F95"/>
    <w:rsid w:val="00D1740B"/>
    <w:rsid w:val="00D41C4B"/>
    <w:rsid w:val="00D504C8"/>
    <w:rsid w:val="00D6528B"/>
    <w:rsid w:val="00D800D0"/>
    <w:rsid w:val="00D85849"/>
    <w:rsid w:val="00DB0E7F"/>
    <w:rsid w:val="00DC563E"/>
    <w:rsid w:val="00DE3821"/>
    <w:rsid w:val="00DF0C1C"/>
    <w:rsid w:val="00E175B4"/>
    <w:rsid w:val="00E30E83"/>
    <w:rsid w:val="00E31B30"/>
    <w:rsid w:val="00E33CA2"/>
    <w:rsid w:val="00E70BF4"/>
    <w:rsid w:val="00E736B9"/>
    <w:rsid w:val="00E935BA"/>
    <w:rsid w:val="00EC3C40"/>
    <w:rsid w:val="00ED101F"/>
    <w:rsid w:val="00EF6D70"/>
    <w:rsid w:val="00F114A7"/>
    <w:rsid w:val="00F4018A"/>
    <w:rsid w:val="00F56AC5"/>
    <w:rsid w:val="00FA575F"/>
    <w:rsid w:val="00FB33EA"/>
    <w:rsid w:val="00FB6E9B"/>
    <w:rsid w:val="00FC7DB4"/>
    <w:rsid w:val="00FD25EC"/>
    <w:rsid w:val="00FD66E5"/>
    <w:rsid w:val="00FE01A0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24EC54-AF40-4B55-96E9-0608BDEF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2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F33"/>
  </w:style>
  <w:style w:type="paragraph" w:styleId="Piedepgina">
    <w:name w:val="footer"/>
    <w:basedOn w:val="Normal"/>
    <w:link w:val="PiedepginaCar"/>
    <w:uiPriority w:val="99"/>
    <w:unhideWhenUsed/>
    <w:rsid w:val="00A02F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F33"/>
  </w:style>
  <w:style w:type="paragraph" w:styleId="Prrafodelista">
    <w:name w:val="List Paragraph"/>
    <w:basedOn w:val="Normal"/>
    <w:uiPriority w:val="34"/>
    <w:qFormat/>
    <w:rsid w:val="00A02F3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E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5386</TotalTime>
  <Pages>10</Pages>
  <Words>2314</Words>
  <Characters>12732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 Electoral del Estado de Querétaro</dc:creator>
  <cp:keywords/>
  <dc:description/>
  <cp:lastModifiedBy>Administrador</cp:lastModifiedBy>
  <cp:revision>79</cp:revision>
  <dcterms:created xsi:type="dcterms:W3CDTF">2017-07-10T17:38:00Z</dcterms:created>
  <dcterms:modified xsi:type="dcterms:W3CDTF">2018-02-15T19:12:00Z</dcterms:modified>
</cp:coreProperties>
</file>