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1F" w:rsidRPr="002D70DA" w:rsidRDefault="00644E1F" w:rsidP="00644E1F">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A LOS ESTADOS FINANCIEROS DEL </w:t>
      </w:r>
      <w:r>
        <w:rPr>
          <w:rFonts w:ascii="Arial" w:hAnsi="Arial" w:cs="Arial"/>
          <w:b/>
          <w:sz w:val="17"/>
          <w:szCs w:val="17"/>
        </w:rPr>
        <w:t>AEROPUERTO INTERCONTINENTAL DE QUERETARO, S.A. DE C.V.</w:t>
      </w:r>
    </w:p>
    <w:p w:rsidR="00644E1F" w:rsidRPr="002D70DA" w:rsidRDefault="00644E1F" w:rsidP="00644E1F">
      <w:pPr>
        <w:autoSpaceDE w:val="0"/>
        <w:autoSpaceDN w:val="0"/>
        <w:adjustRightInd w:val="0"/>
        <w:spacing w:before="80" w:line="250" w:lineRule="exact"/>
        <w:jc w:val="center"/>
        <w:rPr>
          <w:rFonts w:ascii="Arial" w:hAnsi="Arial" w:cs="Arial"/>
          <w:b/>
          <w:sz w:val="17"/>
          <w:szCs w:val="17"/>
        </w:rPr>
      </w:pPr>
    </w:p>
    <w:p w:rsidR="00644E1F" w:rsidRPr="002D70DA" w:rsidRDefault="00644E1F" w:rsidP="00644E1F">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 xml:space="preserve">Con el propósito de dar cumplimiento a los artículos 46 y 49 de la Ley General de Contabilidad Gubernamental (LGCG), así como a la normatividad emitida por el Consejo Nacional de Armonización Contable (CONAC), en seguida, se presentan las notas a los estados financieros correspondientes al ejercicio fiscal </w:t>
      </w:r>
      <w:r>
        <w:rPr>
          <w:rFonts w:ascii="Arial" w:eastAsia="Calibri" w:hAnsi="Arial" w:cs="Arial"/>
          <w:spacing w:val="-1"/>
          <w:sz w:val="17"/>
          <w:szCs w:val="17"/>
        </w:rPr>
        <w:t>2017</w:t>
      </w:r>
      <w:r w:rsidRPr="002D70DA">
        <w:rPr>
          <w:rFonts w:ascii="Arial" w:eastAsia="Calibri" w:hAnsi="Arial" w:cs="Arial"/>
          <w:spacing w:val="-1"/>
          <w:sz w:val="17"/>
          <w:szCs w:val="17"/>
        </w:rPr>
        <w:t>, teniendo presente los postulados de revelación suficiente e importancia relativa con la finalidad de que la información sea de mayor utilidad para los usuarios. Los tres tipos de notas que acompañan a los estados financieros, son:</w:t>
      </w: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a) Notas de Desglose</w:t>
      </w: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b) Notas de Memoria</w:t>
      </w: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c) Notas de Gestión Administrativa</w:t>
      </w:r>
    </w:p>
    <w:p w:rsidR="00644E1F" w:rsidRPr="002D70DA" w:rsidRDefault="00644E1F" w:rsidP="00846F07">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44E1F" w:rsidRPr="002D70DA" w:rsidRDefault="00644E1F" w:rsidP="00846F07">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44E1F" w:rsidRPr="002D70DA" w:rsidRDefault="00644E1F" w:rsidP="00644E1F">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44E1F" w:rsidRDefault="00644E1F" w:rsidP="00846F07">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Efectivo y equivalentes</w:t>
      </w:r>
    </w:p>
    <w:p w:rsidR="003A78D7" w:rsidRPr="003A78D7" w:rsidRDefault="003A78D7" w:rsidP="003A78D7">
      <w:pPr>
        <w:pStyle w:val="Prrafodelista"/>
        <w:spacing w:before="80" w:line="250" w:lineRule="exact"/>
        <w:jc w:val="both"/>
        <w:rPr>
          <w:rFonts w:ascii="Arial" w:eastAsia="Calibri" w:hAnsi="Arial" w:cs="Arial"/>
          <w:spacing w:val="-1"/>
          <w:sz w:val="17"/>
          <w:szCs w:val="17"/>
        </w:rPr>
      </w:pPr>
      <w:r w:rsidRPr="003A78D7">
        <w:rPr>
          <w:rFonts w:ascii="Arial" w:eastAsia="Calibri" w:hAnsi="Arial" w:cs="Arial"/>
          <w:spacing w:val="-1"/>
          <w:sz w:val="17"/>
          <w:szCs w:val="17"/>
        </w:rPr>
        <w:t>En este apartado se informa el tipo y monto de l</w:t>
      </w:r>
      <w:r>
        <w:rPr>
          <w:rFonts w:ascii="Arial" w:eastAsia="Calibri" w:hAnsi="Arial" w:cs="Arial"/>
          <w:spacing w:val="-1"/>
          <w:sz w:val="17"/>
          <w:szCs w:val="17"/>
        </w:rPr>
        <w:t xml:space="preserve">os valores en </w:t>
      </w:r>
      <w:r>
        <w:rPr>
          <w:rFonts w:ascii="Arial" w:eastAsia="Calibri" w:hAnsi="Arial" w:cs="Arial"/>
          <w:spacing w:val="-1"/>
          <w:sz w:val="17"/>
          <w:szCs w:val="17"/>
          <w:u w:val="single"/>
        </w:rPr>
        <w:t>efectivo, bancos y tesorería</w:t>
      </w:r>
      <w:r w:rsidRPr="003A78D7">
        <w:rPr>
          <w:rFonts w:ascii="Arial" w:eastAsia="Calibri" w:hAnsi="Arial" w:cs="Arial"/>
          <w:spacing w:val="-1"/>
          <w:sz w:val="17"/>
          <w:szCs w:val="17"/>
        </w:rPr>
        <w:t xml:space="preserve"> al 31 de diciembre del 2017:</w:t>
      </w:r>
    </w:p>
    <w:p w:rsidR="003A78D7" w:rsidRDefault="003A78D7" w:rsidP="003A78D7">
      <w:pPr>
        <w:pStyle w:val="Prrafodelista"/>
        <w:spacing w:before="80" w:line="250" w:lineRule="exact"/>
        <w:ind w:left="714"/>
        <w:contextualSpacing w:val="0"/>
        <w:jc w:val="both"/>
        <w:rPr>
          <w:rFonts w:ascii="Arial" w:eastAsia="Calibri" w:hAnsi="Arial" w:cs="Arial"/>
          <w:b/>
          <w:spacing w:val="-1"/>
          <w:sz w:val="17"/>
          <w:szCs w:val="17"/>
        </w:rPr>
      </w:pP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EFECTIVO, BANCOS Y TESORERIA</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Caja Facturación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2,014</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Caja Estacionamiento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Fondo Fijo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1,000</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Caja Coordinación Administrativa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Fondo Fijo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20,000</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Caja Maquinas de cobro estacionamiento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Fondo Fijo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62,000</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sidRPr="009B5ADF">
              <w:rPr>
                <w:rFonts w:ascii="Arial" w:hAnsi="Arial" w:cs="Arial"/>
                <w:color w:val="000000"/>
                <w:sz w:val="17"/>
                <w:szCs w:val="17"/>
              </w:rPr>
              <w:t>Banamex 454 498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Cuenta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8C5089">
              <w:rPr>
                <w:rFonts w:ascii="Arial" w:hAnsi="Arial" w:cs="Arial"/>
                <w:b/>
                <w:bCs/>
                <w:color w:val="000000"/>
                <w:sz w:val="17"/>
                <w:szCs w:val="17"/>
              </w:rPr>
              <w:t>3</w:t>
            </w:r>
            <w:r>
              <w:rPr>
                <w:rFonts w:ascii="Arial" w:hAnsi="Arial" w:cs="Arial"/>
                <w:b/>
                <w:bCs/>
                <w:color w:val="000000"/>
                <w:sz w:val="17"/>
                <w:szCs w:val="17"/>
              </w:rPr>
              <w:t>,</w:t>
            </w:r>
            <w:r w:rsidRPr="008C5089">
              <w:rPr>
                <w:rFonts w:ascii="Arial" w:hAnsi="Arial" w:cs="Arial"/>
                <w:b/>
                <w:bCs/>
                <w:color w:val="000000"/>
                <w:sz w:val="17"/>
                <w:szCs w:val="17"/>
              </w:rPr>
              <w:t>414</w:t>
            </w:r>
            <w:r>
              <w:rPr>
                <w:rFonts w:ascii="Arial" w:hAnsi="Arial" w:cs="Arial"/>
                <w:b/>
                <w:bCs/>
                <w:color w:val="000000"/>
                <w:sz w:val="17"/>
                <w:szCs w:val="17"/>
              </w:rPr>
              <w:t>,127</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sidRPr="009B5ADF">
              <w:rPr>
                <w:rFonts w:ascii="Arial" w:hAnsi="Arial" w:cs="Arial"/>
                <w:color w:val="000000"/>
                <w:sz w:val="17"/>
                <w:szCs w:val="17"/>
              </w:rPr>
              <w:t>Banorte 0173684876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Cuenta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226,058</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sidRPr="009B5ADF">
              <w:rPr>
                <w:rFonts w:ascii="Arial" w:hAnsi="Arial" w:cs="Arial"/>
                <w:color w:val="000000"/>
                <w:sz w:val="17"/>
                <w:szCs w:val="17"/>
              </w:rPr>
              <w:t>Banorte 0179654732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Cuenta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3,193,22</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nil"/>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644E1F">
              <w:rPr>
                <w:rFonts w:ascii="Arial" w:hAnsi="Arial" w:cs="Arial"/>
                <w:b/>
                <w:bCs/>
                <w:color w:val="000000"/>
                <w:sz w:val="17"/>
                <w:szCs w:val="17"/>
              </w:rPr>
              <w:t>3,728,394</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644E1F" w:rsidRPr="002D70DA" w:rsidRDefault="00644E1F" w:rsidP="00644E1F">
            <w:pPr>
              <w:jc w:val="center"/>
              <w:rPr>
                <w:rFonts w:ascii="Arial" w:hAnsi="Arial" w:cs="Arial"/>
                <w:color w:val="000000"/>
                <w:sz w:val="17"/>
                <w:szCs w:val="17"/>
              </w:rPr>
            </w:pP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b/>
                <w:bCs/>
                <w:color w:val="000000"/>
                <w:sz w:val="17"/>
                <w:szCs w:val="17"/>
              </w:rPr>
            </w:pPr>
          </w:p>
        </w:tc>
      </w:tr>
    </w:tbl>
    <w:p w:rsidR="00644E1F" w:rsidRDefault="00644E1F" w:rsidP="003A78D7">
      <w:pPr>
        <w:pStyle w:val="Prrafodelista"/>
        <w:spacing w:before="80" w:line="250" w:lineRule="exact"/>
        <w:ind w:left="714"/>
        <w:contextualSpacing w:val="0"/>
        <w:jc w:val="both"/>
        <w:rPr>
          <w:rFonts w:ascii="Arial" w:eastAsia="Calibri" w:hAnsi="Arial" w:cs="Arial"/>
          <w:spacing w:val="-1"/>
          <w:sz w:val="17"/>
          <w:szCs w:val="17"/>
        </w:rPr>
      </w:pPr>
    </w:p>
    <w:p w:rsidR="00644E1F" w:rsidRPr="008C5089" w:rsidRDefault="00644E1F" w:rsidP="003A78D7">
      <w:pPr>
        <w:rPr>
          <w:rFonts w:ascii="Arial" w:eastAsia="Calibri" w:hAnsi="Arial" w:cs="Arial"/>
          <w:b/>
          <w:spacing w:val="-1"/>
          <w:sz w:val="17"/>
          <w:szCs w:val="17"/>
        </w:rPr>
      </w:pPr>
      <w:r>
        <w:rPr>
          <w:rFonts w:ascii="Arial" w:eastAsia="Calibri" w:hAnsi="Arial" w:cs="Arial"/>
          <w:spacing w:val="-1"/>
          <w:sz w:val="17"/>
          <w:szCs w:val="17"/>
        </w:rPr>
        <w:br w:type="page"/>
      </w:r>
      <w:r w:rsidRPr="008C5089">
        <w:rPr>
          <w:rFonts w:ascii="Arial" w:eastAsia="Calibri" w:hAnsi="Arial" w:cs="Arial"/>
          <w:spacing w:val="-1"/>
          <w:sz w:val="17"/>
          <w:szCs w:val="17"/>
        </w:rPr>
        <w:lastRenderedPageBreak/>
        <w:t xml:space="preserve">En este apartado se informa el tipo y monto de los </w:t>
      </w:r>
      <w:r w:rsidRPr="008C5089">
        <w:rPr>
          <w:rFonts w:ascii="Arial" w:eastAsia="Calibri" w:hAnsi="Arial" w:cs="Arial"/>
          <w:spacing w:val="-1"/>
          <w:sz w:val="17"/>
          <w:szCs w:val="17"/>
          <w:u w:val="single"/>
        </w:rPr>
        <w:t>fondos con afectación específica</w:t>
      </w:r>
      <w:r w:rsidRPr="008C5089">
        <w:rPr>
          <w:rFonts w:ascii="Arial" w:eastAsia="Calibri" w:hAnsi="Arial" w:cs="Arial"/>
          <w:spacing w:val="-1"/>
          <w:sz w:val="17"/>
          <w:szCs w:val="17"/>
        </w:rPr>
        <w:t xml:space="preserve"> al 31 de diciembre del 2017:</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sidRPr="009B5ADF">
              <w:rPr>
                <w:rFonts w:ascii="Arial" w:hAnsi="Arial" w:cs="Arial"/>
                <w:color w:val="000000"/>
                <w:sz w:val="17"/>
                <w:szCs w:val="17"/>
              </w:rPr>
              <w:t>Banor</w:t>
            </w:r>
            <w:r>
              <w:rPr>
                <w:rFonts w:ascii="Arial" w:hAnsi="Arial" w:cs="Arial"/>
                <w:color w:val="000000"/>
                <w:sz w:val="17"/>
                <w:szCs w:val="17"/>
              </w:rPr>
              <w:t>te 0495743961 (PROFIGE)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Cuenta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6,898,400</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6,898,400</w:t>
            </w:r>
            <w:r w:rsidRPr="002D70DA">
              <w:rPr>
                <w:rFonts w:ascii="Arial" w:hAnsi="Arial" w:cs="Arial"/>
                <w:b/>
                <w:bCs/>
                <w:color w:val="000000"/>
                <w:sz w:val="17"/>
                <w:szCs w:val="17"/>
              </w:rPr>
              <w:fldChar w:fldCharType="end"/>
            </w:r>
          </w:p>
        </w:tc>
      </w:tr>
    </w:tbl>
    <w:p w:rsidR="00644E1F"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Asimismo, se informa el tipo, el monto y el plazo de las </w:t>
      </w:r>
      <w:r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sidRPr="0011443C">
              <w:rPr>
                <w:rFonts w:ascii="Arial" w:hAnsi="Arial" w:cs="Arial"/>
                <w:color w:val="000000"/>
                <w:sz w:val="17"/>
                <w:szCs w:val="17"/>
              </w:rPr>
              <w:t>Banamex 74104233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11443C">
              <w:rPr>
                <w:rFonts w:ascii="Arial" w:hAnsi="Arial" w:cs="Arial"/>
                <w:b/>
                <w:bCs/>
                <w:color w:val="000000"/>
                <w:sz w:val="17"/>
                <w:szCs w:val="17"/>
              </w:rPr>
              <w:t>Portafolio de Inversiones</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20,111,091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20,111,091</w:t>
            </w:r>
            <w:r w:rsidR="00644E1F" w:rsidRPr="0011443C">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both"/>
              <w:rPr>
                <w:rFonts w:ascii="Arial" w:hAnsi="Arial" w:cs="Arial"/>
                <w:color w:val="000000"/>
                <w:sz w:val="17"/>
                <w:szCs w:val="17"/>
              </w:rPr>
            </w:pPr>
            <w:r w:rsidRPr="002D70DA">
              <w:rPr>
                <w:rFonts w:ascii="Arial" w:hAnsi="Arial" w:cs="Arial"/>
                <w:color w:val="000000"/>
                <w:sz w:val="17"/>
                <w:szCs w:val="17"/>
              </w:rPr>
              <w:t> </w:t>
            </w:r>
          </w:p>
        </w:tc>
      </w:tr>
    </w:tbl>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11440" w:type="dxa"/>
        <w:jc w:val="center"/>
        <w:tblCellMar>
          <w:left w:w="70" w:type="dxa"/>
          <w:right w:w="70" w:type="dxa"/>
        </w:tblCellMar>
        <w:tblLook w:val="04A0"/>
      </w:tblPr>
      <w:tblGrid>
        <w:gridCol w:w="4900"/>
        <w:gridCol w:w="218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Otros efectivos y equivalentes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Otros (TPV´s)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91,259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91,259</w:t>
            </w:r>
            <w:r w:rsidR="00644E1F" w:rsidRPr="0011443C">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both"/>
              <w:rPr>
                <w:rFonts w:ascii="Arial" w:hAnsi="Arial" w:cs="Arial"/>
                <w:color w:val="000000"/>
                <w:sz w:val="17"/>
                <w:szCs w:val="17"/>
              </w:rPr>
            </w:pPr>
            <w:r w:rsidRPr="002D70DA">
              <w:rPr>
                <w:rFonts w:ascii="Arial" w:hAnsi="Arial" w:cs="Arial"/>
                <w:color w:val="000000"/>
                <w:sz w:val="17"/>
                <w:szCs w:val="17"/>
              </w:rPr>
              <w:t> </w:t>
            </w:r>
          </w:p>
        </w:tc>
      </w:tr>
    </w:tbl>
    <w:p w:rsidR="00644E1F" w:rsidRDefault="00644E1F" w:rsidP="00644E1F">
      <w:pPr>
        <w:pStyle w:val="Prrafodelista"/>
        <w:spacing w:before="80" w:line="250" w:lineRule="exact"/>
        <w:ind w:left="714"/>
        <w:contextualSpacing w:val="0"/>
        <w:jc w:val="both"/>
        <w:rPr>
          <w:rFonts w:ascii="Arial" w:eastAsia="Calibri" w:hAnsi="Arial" w:cs="Arial"/>
          <w:b/>
          <w:spacing w:val="-1"/>
          <w:sz w:val="17"/>
          <w:szCs w:val="17"/>
        </w:rPr>
      </w:pPr>
    </w:p>
    <w:p w:rsidR="00644E1F" w:rsidRDefault="00644E1F" w:rsidP="00644E1F">
      <w:pPr>
        <w:rPr>
          <w:rFonts w:ascii="Arial" w:eastAsia="Calibri" w:hAnsi="Arial" w:cs="Arial"/>
          <w:b/>
          <w:spacing w:val="-1"/>
          <w:sz w:val="17"/>
          <w:szCs w:val="17"/>
        </w:rPr>
      </w:pPr>
      <w:r>
        <w:rPr>
          <w:rFonts w:ascii="Arial" w:eastAsia="Calibri" w:hAnsi="Arial" w:cs="Arial"/>
          <w:b/>
          <w:spacing w:val="-1"/>
          <w:sz w:val="17"/>
          <w:szCs w:val="17"/>
        </w:rPr>
        <w:br w:type="page"/>
      </w: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Derechos a recibir efectivo o equivalentes y bienes o servicios a recibir:</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apartado, por tipo de contribución, los montos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que se encuentren pendientes de cobro y por recuperar de hasta cinco ejercicios anteriores. Asimismo, se informa los montos sujetos a algún tipo de juicio con una antigüedad mayor a cinco ejercicios anteriores y la factibilidad de cobro:</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644E1F" w:rsidRPr="002D70DA" w:rsidTr="00644E1F">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FACTIBILIDAD DE COBRO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IVA, IETU, ISR</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5,978,075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N/A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100%</w:t>
            </w: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5,978,075</w:t>
            </w:r>
            <w:r w:rsidR="00644E1F" w:rsidRPr="0011443C">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both"/>
              <w:rPr>
                <w:rFonts w:ascii="Arial" w:hAnsi="Arial" w:cs="Arial"/>
                <w:color w:val="000000"/>
                <w:sz w:val="17"/>
                <w:szCs w:val="17"/>
              </w:rPr>
            </w:pPr>
            <w:r w:rsidRPr="002D70DA">
              <w:rPr>
                <w:rFonts w:ascii="Arial" w:hAnsi="Arial" w:cs="Arial"/>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22,938,592</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2,088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w:t>
            </w:r>
            <w:r w:rsidR="00644E1F">
              <w:rPr>
                <w:rFonts w:ascii="Arial" w:hAnsi="Arial" w:cs="Arial"/>
                <w:b/>
                <w:bCs/>
                <w:noProof/>
                <w:color w:val="000000"/>
                <w:sz w:val="17"/>
                <w:szCs w:val="17"/>
              </w:rPr>
              <w:t xml:space="preserve">   22,940,680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Default="00644E1F" w:rsidP="00644E1F">
            <w:pPr>
              <w:rPr>
                <w:rFonts w:ascii="Arial" w:hAnsi="Arial" w:cs="Arial"/>
                <w:color w:val="000000"/>
                <w:sz w:val="17"/>
                <w:szCs w:val="17"/>
              </w:rPr>
            </w:pPr>
          </w:p>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6,514,252</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w:t>
            </w:r>
            <w:r w:rsidR="00644E1F">
              <w:rPr>
                <w:rFonts w:ascii="Arial" w:hAnsi="Arial" w:cs="Arial"/>
                <w:b/>
                <w:bCs/>
                <w:noProof/>
                <w:color w:val="000000"/>
                <w:sz w:val="17"/>
                <w:szCs w:val="17"/>
              </w:rPr>
              <w:t xml:space="preserve">   6,514,252</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4,113,706</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w:t>
            </w:r>
            <w:r w:rsidR="00644E1F">
              <w:rPr>
                <w:rFonts w:ascii="Arial" w:hAnsi="Arial" w:cs="Arial"/>
                <w:b/>
                <w:bCs/>
                <w:noProof/>
                <w:color w:val="000000"/>
                <w:sz w:val="17"/>
                <w:szCs w:val="17"/>
              </w:rPr>
              <w:t xml:space="preserve">   4,113,706</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3,965,604</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w:t>
            </w:r>
            <w:r w:rsidR="00644E1F">
              <w:rPr>
                <w:rFonts w:ascii="Arial" w:hAnsi="Arial" w:cs="Arial"/>
                <w:b/>
                <w:bCs/>
                <w:noProof/>
                <w:color w:val="000000"/>
                <w:sz w:val="17"/>
                <w:szCs w:val="17"/>
              </w:rPr>
              <w:t xml:space="preserve">   3,965,604</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Pr>
                <w:rFonts w:ascii="Arial" w:hAnsi="Arial" w:cs="Arial"/>
                <w:b/>
                <w:bCs/>
                <w:color w:val="000000"/>
                <w:sz w:val="17"/>
                <w:szCs w:val="17"/>
              </w:rPr>
              <w:fldChar w:fldCharType="begin"/>
            </w:r>
            <w:r w:rsidR="00644E1F">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644E1F">
              <w:rPr>
                <w:rFonts w:ascii="Arial" w:hAnsi="Arial" w:cs="Arial"/>
                <w:b/>
                <w:bCs/>
                <w:noProof/>
                <w:color w:val="000000"/>
                <w:sz w:val="17"/>
                <w:szCs w:val="17"/>
              </w:rPr>
              <w:t>$   44,587,694</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r>
    </w:tbl>
    <w:p w:rsidR="00644E1F" w:rsidRPr="002D70DA" w:rsidRDefault="00644E1F" w:rsidP="00644E1F">
      <w:pPr>
        <w:pStyle w:val="Prrafodelista"/>
        <w:spacing w:before="120" w:after="240" w:line="240" w:lineRule="exact"/>
        <w:ind w:left="714"/>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$68,350,158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68,350,158</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$ 0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644E1F">
              <w:rPr>
                <w:rFonts w:ascii="Arial" w:hAnsi="Arial" w:cs="Arial"/>
                <w:b/>
                <w:bCs/>
                <w:color w:val="000000"/>
                <w:sz w:val="17"/>
                <w:szCs w:val="17"/>
              </w:rPr>
              <w:t>0</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$ 327,695</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327,695</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   68,677,853</w:t>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r>
    </w:tbl>
    <w:p w:rsidR="00644E1F" w:rsidRPr="002D70DA" w:rsidRDefault="00644E1F" w:rsidP="00644E1F">
      <w:pPr>
        <w:pStyle w:val="Prrafodelista"/>
        <w:spacing w:before="120" w:after="240" w:line="240" w:lineRule="exact"/>
        <w:ind w:left="714"/>
        <w:jc w:val="both"/>
        <w:rPr>
          <w:rFonts w:ascii="Arial" w:eastAsia="Calibri" w:hAnsi="Arial" w:cs="Arial"/>
          <w:spacing w:val="-1"/>
          <w:sz w:val="17"/>
          <w:szCs w:val="17"/>
        </w:rPr>
      </w:pP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clasifican como bienes disponibles para su transformación, aquellos que se encuentran dentro de la cuenta de inventarios. 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644E1F" w:rsidRPr="002D70DA" w:rsidRDefault="00644E1F" w:rsidP="00644E1F">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tblPr>
      <w:tblGrid>
        <w:gridCol w:w="4900"/>
        <w:gridCol w:w="2180"/>
        <w:gridCol w:w="2180"/>
        <w:gridCol w:w="2180"/>
        <w:gridCol w:w="2180"/>
      </w:tblGrid>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644E1F" w:rsidRPr="002D70DA" w:rsidRDefault="00644E1F" w:rsidP="00644E1F">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Pr>
                <w:rFonts w:ascii="Arial" w:hAnsi="Arial" w:cs="Arial"/>
                <w:color w:val="000000"/>
                <w:sz w:val="17"/>
                <w:szCs w:val="17"/>
              </w:rPr>
              <w:t>N/A</w:t>
            </w: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y características significativas que tengan o puedan tener alguna incidencia en las mismas:</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tblPr>
      <w:tblGrid>
        <w:gridCol w:w="4900"/>
        <w:gridCol w:w="2180"/>
        <w:gridCol w:w="2180"/>
        <w:gridCol w:w="2180"/>
      </w:tblGrid>
      <w:tr w:rsidR="00644E1F" w:rsidRPr="002D70DA" w:rsidTr="00644E1F">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color w:val="000000"/>
                <w:sz w:val="17"/>
                <w:szCs w:val="17"/>
              </w:rPr>
              <w:t>N/A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las participaciones y aportaciones de capital:</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tblPr>
      <w:tblGrid>
        <w:gridCol w:w="490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muebles, inmuebles e intangibles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muebles,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tblPr>
      <w:tblGrid>
        <w:gridCol w:w="3640"/>
        <w:gridCol w:w="1604"/>
        <w:gridCol w:w="1604"/>
        <w:gridCol w:w="1605"/>
        <w:gridCol w:w="1605"/>
        <w:gridCol w:w="1605"/>
        <w:gridCol w:w="1765"/>
      </w:tblGrid>
      <w:tr w:rsidR="00644E1F" w:rsidRPr="002D70DA" w:rsidTr="00644E1F">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1,738,981</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6,725,931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Pr>
                <w:rFonts w:ascii="Arial" w:hAnsi="Arial" w:cs="Arial"/>
                <w:color w:val="000000"/>
                <w:sz w:val="17"/>
                <w:szCs w:val="17"/>
              </w:rPr>
              <w:t>10%</w:t>
            </w:r>
            <w:r w:rsidRPr="002D70DA">
              <w:rPr>
                <w:rFonts w:ascii="Arial" w:hAnsi="Arial" w:cs="Arial"/>
                <w:color w:val="000000"/>
                <w:sz w:val="17"/>
                <w:szCs w:val="17"/>
              </w:rPr>
              <w:t> </w:t>
            </w:r>
            <w:r>
              <w:rPr>
                <w:rFonts w:ascii="Arial" w:hAnsi="Arial" w:cs="Arial"/>
                <w:color w:val="000000"/>
                <w:sz w:val="17"/>
                <w:szCs w:val="17"/>
              </w:rPr>
              <w:t>/ 30%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Pr>
                <w:rFonts w:ascii="Arial" w:hAnsi="Arial" w:cs="Arial"/>
                <w:color w:val="000000"/>
                <w:sz w:val="17"/>
                <w:szCs w:val="17"/>
              </w:rPr>
              <w:t>LGCG</w:t>
            </w: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53,821</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152,347</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LGCG</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228,296</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4,337,259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25%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LGCG</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2,904,027</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29,761,911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LGCG</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1364" w:type="pct"/>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4,925,126</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40,977,488</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40"/>
        <w:gridCol w:w="1604"/>
        <w:gridCol w:w="1604"/>
        <w:gridCol w:w="1605"/>
        <w:gridCol w:w="1605"/>
        <w:gridCol w:w="1605"/>
        <w:gridCol w:w="1765"/>
      </w:tblGrid>
      <w:tr w:rsidR="00644E1F" w:rsidRPr="002D70DA" w:rsidTr="00644E1F">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3,206,775</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24,854,688</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Pr>
                <w:rFonts w:ascii="Arial" w:hAnsi="Arial" w:cs="Arial"/>
                <w:color w:val="000000"/>
                <w:sz w:val="17"/>
                <w:szCs w:val="17"/>
              </w:rPr>
              <w:t>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LGCG</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3,206,775</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24,854,688</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activos intangibles y diferidos, su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tblPr>
      <w:tblGrid>
        <w:gridCol w:w="3664"/>
        <w:gridCol w:w="1628"/>
        <w:gridCol w:w="1628"/>
        <w:gridCol w:w="1627"/>
        <w:gridCol w:w="1627"/>
        <w:gridCol w:w="1627"/>
        <w:gridCol w:w="1627"/>
      </w:tblGrid>
      <w:tr w:rsidR="00644E1F" w:rsidRPr="002D70DA" w:rsidTr="00644E1F">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2,178,150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Acreedora</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1,677,876</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291,525</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228,429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Acreedora</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228,429</w:t>
            </w:r>
          </w:p>
        </w:tc>
        <w:tc>
          <w:tcPr>
            <w:tcW w:w="606" w:type="pct"/>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228,429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Vida Útil</w:t>
            </w:r>
          </w:p>
        </w:tc>
      </w:tr>
      <w:tr w:rsidR="00644E1F" w:rsidRPr="002D70DA" w:rsidTr="00644E1F">
        <w:trPr>
          <w:trHeight w:val="240"/>
        </w:trPr>
        <w:tc>
          <w:tcPr>
            <w:tcW w:w="1364" w:type="pct"/>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2,406,580</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1,906,305</w:t>
            </w:r>
            <w:r w:rsidR="00644E1F" w:rsidRPr="006070AC">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395,079</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644E1F" w:rsidRPr="002D70DA" w:rsidRDefault="00644E1F" w:rsidP="00644E1F">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tblPr>
      <w:tblGrid>
        <w:gridCol w:w="4900"/>
        <w:gridCol w:w="2180"/>
      </w:tblGrid>
      <w:tr w:rsidR="00644E1F" w:rsidRPr="002D70DA" w:rsidTr="00644E1F">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N/A</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846F07">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y sus características cualitativas significativas que les impacten financieramente:</w:t>
      </w: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auto" w:fill="auto"/>
            <w:noWrap/>
            <w:vAlign w:val="bottom"/>
            <w:hideMark/>
          </w:tcPr>
          <w:p w:rsidR="00644E1F" w:rsidRPr="002D70DA" w:rsidRDefault="00644E1F" w:rsidP="00644E1F">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644E1F" w:rsidRPr="002D70DA" w:rsidRDefault="00644E1F" w:rsidP="00644E1F">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644E1F" w:rsidRPr="002D70DA" w:rsidRDefault="00644E1F" w:rsidP="00644E1F">
            <w:pPr>
              <w:rPr>
                <w:rFonts w:ascii="Arial" w:hAnsi="Arial" w:cs="Arial"/>
                <w:sz w:val="17"/>
                <w:szCs w:val="17"/>
              </w:rPr>
            </w:pP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r>
    </w:tbl>
    <w:p w:rsidR="00644E1F" w:rsidRPr="002D70DA" w:rsidRDefault="00644E1F" w:rsidP="00644E1F">
      <w:pPr>
        <w:spacing w:before="120" w:after="120" w:line="240" w:lineRule="exact"/>
        <w:jc w:val="both"/>
        <w:rPr>
          <w:rFonts w:ascii="Arial" w:hAnsi="Arial" w:cs="Arial"/>
          <w:sz w:val="17"/>
          <w:szCs w:val="17"/>
        </w:rPr>
      </w:pPr>
    </w:p>
    <w:p w:rsidR="00644E1F" w:rsidRPr="002D70DA" w:rsidRDefault="00644E1F" w:rsidP="00644E1F">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Pr="002D70DA">
        <w:rPr>
          <w:rStyle w:val="Refdenotaalpie"/>
          <w:rFonts w:ascii="Arial" w:hAnsi="Arial" w:cs="Arial"/>
          <w:b/>
          <w:sz w:val="17"/>
          <w:szCs w:val="17"/>
        </w:rPr>
        <w:footnoteReference w:id="1"/>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las cuentas por pagar en una desagregación por su vencimiento en días a 90, 180, menor o igual a 365 y mayor a 365. Asimismo, se informa sobre la factibilidad del pago de dichos pasivos:</w:t>
      </w:r>
    </w:p>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1,776,448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107,672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644E1F">
              <w:rPr>
                <w:rFonts w:ascii="Arial" w:hAnsi="Arial" w:cs="Arial"/>
                <w:b/>
                <w:bCs/>
                <w:color w:val="000000"/>
                <w:sz w:val="17"/>
                <w:szCs w:val="17"/>
              </w:rPr>
              <w:t>1,884,120</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7,504,240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644E1F">
              <w:rPr>
                <w:rFonts w:ascii="Arial" w:hAnsi="Arial" w:cs="Arial"/>
                <w:b/>
                <w:bCs/>
                <w:color w:val="000000"/>
                <w:sz w:val="17"/>
                <w:szCs w:val="17"/>
              </w:rPr>
              <w:t>7,504,240</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  6,688</w:t>
            </w:r>
            <w:r w:rsidRPr="002D70D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6,688</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sidR="00644E1F">
              <w:rPr>
                <w:rFonts w:ascii="Arial" w:hAnsi="Arial" w:cs="Arial"/>
                <w:b/>
                <w:bCs/>
                <w:color w:val="000000"/>
                <w:sz w:val="17"/>
                <w:szCs w:val="17"/>
              </w:rPr>
              <w:t>9,395,048</w:t>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los documentos por pagar en una desagregación por su vencimiento en días a 90, 180, menor o igual a 365 y mayor a 365. Asimismo, se informa sobre la factibilidad del pago de dichos pasivos:</w:t>
      </w:r>
    </w:p>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tblPr>
      <w:tblGrid>
        <w:gridCol w:w="4900"/>
        <w:gridCol w:w="2180"/>
        <w:gridCol w:w="2180"/>
        <w:gridCol w:w="2180"/>
      </w:tblGrid>
      <w:tr w:rsidR="00644E1F" w:rsidRPr="002D70DA" w:rsidTr="00644E1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center"/>
              <w:rPr>
                <w:rFonts w:ascii="Arial" w:hAnsi="Arial" w:cs="Arial"/>
                <w:color w:val="000000"/>
                <w:sz w:val="17"/>
                <w:szCs w:val="17"/>
              </w:rPr>
            </w:pPr>
          </w:p>
        </w:tc>
      </w:tr>
      <w:bookmarkEnd w:id="4"/>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44E1F" w:rsidRPr="002D70DA" w:rsidRDefault="00644E1F" w:rsidP="00644E1F">
            <w:pPr>
              <w:rPr>
                <w:rFonts w:ascii="Arial" w:hAnsi="Arial" w:cs="Arial"/>
                <w:color w:val="000000"/>
                <w:sz w:val="17"/>
                <w:szCs w:val="17"/>
              </w:rPr>
            </w:pPr>
          </w:p>
        </w:tc>
      </w:tr>
      <w:tr w:rsidR="00644E1F" w:rsidRPr="002D70DA" w:rsidTr="00644E1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center"/>
              <w:rPr>
                <w:rFonts w:ascii="Arial" w:hAnsi="Arial" w:cs="Arial"/>
                <w:color w:val="000000"/>
                <w:sz w:val="17"/>
                <w:szCs w:val="17"/>
              </w:rPr>
            </w:pPr>
          </w:p>
        </w:tc>
      </w:tr>
      <w:bookmarkEnd w:id="5"/>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44E1F" w:rsidRPr="002D70DA" w:rsidRDefault="00644E1F" w:rsidP="00644E1F">
            <w:pPr>
              <w:rPr>
                <w:rFonts w:ascii="Arial" w:hAnsi="Arial" w:cs="Arial"/>
                <w:sz w:val="17"/>
                <w:szCs w:val="17"/>
              </w:rPr>
            </w:pPr>
          </w:p>
        </w:tc>
      </w:tr>
    </w:tbl>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44E1F" w:rsidRPr="002D70DA" w:rsidTr="00644E1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8,628,470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Pr>
                <w:rFonts w:ascii="Arial" w:hAnsi="Arial" w:cs="Arial"/>
                <w:color w:val="000000"/>
                <w:sz w:val="17"/>
                <w:szCs w:val="17"/>
              </w:rPr>
              <w:t>PASIVO LABORAL</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18,019,660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26,648,130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44E1F" w:rsidRPr="002D70DA" w:rsidRDefault="00644E1F" w:rsidP="00644E1F">
            <w:pPr>
              <w:rPr>
                <w:rFonts w:ascii="Arial" w:hAnsi="Arial" w:cs="Arial"/>
                <w:sz w:val="17"/>
                <w:szCs w:val="17"/>
              </w:rPr>
            </w:pPr>
          </w:p>
        </w:tc>
      </w:tr>
    </w:tbl>
    <w:p w:rsidR="00644E1F" w:rsidRPr="002D70DA" w:rsidRDefault="00644E1F" w:rsidP="00644E1F">
      <w:pPr>
        <w:spacing w:before="120" w:after="120" w:line="240" w:lineRule="exact"/>
        <w:jc w:val="both"/>
        <w:rPr>
          <w:rFonts w:ascii="Arial" w:eastAsia="Calibri" w:hAnsi="Arial" w:cs="Arial"/>
          <w:b/>
          <w:spacing w:val="-1"/>
          <w:sz w:val="17"/>
          <w:szCs w:val="17"/>
        </w:rPr>
      </w:pPr>
    </w:p>
    <w:p w:rsidR="003A78D7" w:rsidRPr="002D70DA" w:rsidRDefault="003A78D7" w:rsidP="003A78D7">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644E1F" w:rsidRPr="002D70DA" w:rsidRDefault="00644E1F" w:rsidP="00644E1F">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   204,171,612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44E1F" w:rsidRPr="002D70DA" w:rsidRDefault="00644E1F" w:rsidP="00644E1F">
            <w:pPr>
              <w:jc w:val="center"/>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204,171,612</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tipo, 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y naturaleza de la cuenta de otros ingresos, asimismo se informa de sus características significativas:</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Ganancia Cambiaria</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301,898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Acreedora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lastRenderedPageBreak/>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Diversos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2,072,554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Acreedora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   2,374,452</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jc w:val="center"/>
              <w:rPr>
                <w:rFonts w:ascii="Arial" w:hAnsi="Arial" w:cs="Arial"/>
                <w:color w:val="000000"/>
                <w:sz w:val="17"/>
                <w:szCs w:val="17"/>
              </w:rPr>
            </w:pPr>
            <w:r w:rsidRPr="002D70DA">
              <w:rPr>
                <w:rFonts w:ascii="Arial" w:hAnsi="Arial" w:cs="Arial"/>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explican aquellas cuentas de gastos de funcionamiento, transferencias, subsidios y otras ayudas, participaciones y aportaciones, otros gastos y pérdidas extraordinarias, que en lo individual representen el 10% o más del total de los gastos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   144,218,319</w:t>
            </w:r>
          </w:p>
        </w:tc>
        <w:tc>
          <w:tcPr>
            <w:tcW w:w="218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r w:rsidRPr="001314F4">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36,369,587</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34%</w:t>
            </w: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r w:rsidRPr="001314F4">
              <w:rPr>
                <w:rFonts w:ascii="Arial" w:hAnsi="Arial" w:cs="Arial"/>
                <w:color w:val="000000"/>
                <w:sz w:val="17"/>
                <w:szCs w:val="17"/>
              </w:rPr>
              <w:t>Servicios Profesionales, Científicos y Técnicos</w:t>
            </w:r>
            <w:r>
              <w:rPr>
                <w:rFonts w:ascii="Arial" w:hAnsi="Arial" w:cs="Arial"/>
                <w:color w:val="000000"/>
                <w:sz w:val="17"/>
                <w:szCs w:val="17"/>
              </w:rPr>
              <w:t xml:space="preserve"> y Otros Servicios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38,992,324</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36%</w:t>
            </w: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r w:rsidRPr="005C02D8">
              <w:rPr>
                <w:rFonts w:ascii="Arial" w:hAnsi="Arial" w:cs="Arial"/>
                <w:color w:val="000000"/>
                <w:sz w:val="17"/>
                <w:szCs w:val="17"/>
              </w:rPr>
              <w:t>Servicios de Instalación, Reparación, Mantenimient</w:t>
            </w:r>
            <w:r>
              <w:rPr>
                <w:rFonts w:ascii="Arial" w:hAnsi="Arial" w:cs="Arial"/>
                <w:color w:val="000000"/>
                <w:sz w:val="17"/>
                <w:szCs w:val="17"/>
              </w:rPr>
              <w:t>o y Conservación</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31,491,022</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29%</w:t>
            </w: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44E1F" w:rsidRPr="002D70DA" w:rsidRDefault="00644E1F" w:rsidP="00644E1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rPr>
          <w:rFonts w:ascii="Arial" w:eastAsia="Calibri" w:hAnsi="Arial" w:cs="Arial"/>
          <w:spacing w:val="-1"/>
          <w:sz w:val="17"/>
          <w:szCs w:val="17"/>
        </w:rPr>
      </w:pPr>
      <w:r w:rsidRPr="002D70DA">
        <w:rPr>
          <w:rFonts w:ascii="Arial" w:eastAsia="Calibri" w:hAnsi="Arial" w:cs="Arial"/>
          <w:spacing w:val="-1"/>
          <w:sz w:val="17"/>
          <w:szCs w:val="17"/>
        </w:rPr>
        <w:br w:type="page"/>
      </w:r>
    </w:p>
    <w:p w:rsidR="00644E1F" w:rsidRPr="002D70DA" w:rsidRDefault="00644E1F" w:rsidP="003A78D7">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Variación en la Hacienda Pública</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(0</w:t>
            </w:r>
            <w:r w:rsidR="00644E1F" w:rsidRPr="002D70DA">
              <w:rPr>
                <w:rFonts w:ascii="Arial" w:hAnsi="Arial" w:cs="Arial"/>
                <w:b/>
                <w:bCs/>
                <w:noProof/>
                <w:color w:val="000000"/>
                <w:sz w:val="17"/>
                <w:szCs w:val="17"/>
              </w:rPr>
              <w:t>.00)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(0</w:t>
            </w:r>
            <w:r w:rsidR="00644E1F" w:rsidRPr="002D70DA">
              <w:rPr>
                <w:rFonts w:ascii="Arial" w:hAnsi="Arial" w:cs="Arial"/>
                <w:b/>
                <w:bCs/>
                <w:noProof/>
                <w:color w:val="000000"/>
                <w:sz w:val="17"/>
                <w:szCs w:val="17"/>
              </w:rPr>
              <w:t>.00)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(0</w:t>
            </w:r>
            <w:r w:rsidR="00644E1F" w:rsidRPr="002D70DA">
              <w:rPr>
                <w:rFonts w:ascii="Arial" w:hAnsi="Arial" w:cs="Arial"/>
                <w:b/>
                <w:bCs/>
                <w:noProof/>
                <w:color w:val="000000"/>
                <w:sz w:val="17"/>
                <w:szCs w:val="17"/>
              </w:rPr>
              <w:t>.00)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65,321,425</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Ingresos Propios</w:t>
            </w: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-23,952,737</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Ingresos Propios</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145,312</w:t>
            </w:r>
            <w:r w:rsidR="00644E1F" w:rsidRPr="002D70DA">
              <w:rPr>
                <w:rFonts w:ascii="Arial" w:hAnsi="Arial" w:cs="Arial"/>
                <w:b/>
                <w:bCs/>
                <w:noProof/>
                <w:color w:val="000000"/>
                <w:sz w:val="17"/>
                <w:szCs w:val="17"/>
              </w:rPr>
              <w:t>.</w:t>
            </w:r>
            <w:r w:rsidR="00644E1F">
              <w:rPr>
                <w:rFonts w:ascii="Arial" w:hAnsi="Arial" w:cs="Arial"/>
                <w:b/>
                <w:bCs/>
                <w:noProof/>
                <w:color w:val="000000"/>
                <w:sz w:val="17"/>
                <w:szCs w:val="17"/>
              </w:rPr>
              <w:t>52</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145,312.52</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rPr>
          <w:rFonts w:ascii="Arial" w:eastAsia="Calibri" w:hAnsi="Arial" w:cs="Arial"/>
          <w:spacing w:val="-1"/>
          <w:sz w:val="17"/>
          <w:szCs w:val="17"/>
        </w:rPr>
      </w:pPr>
      <w:r w:rsidRPr="002D70DA">
        <w:rPr>
          <w:rFonts w:ascii="Arial" w:eastAsia="Calibri" w:hAnsi="Arial" w:cs="Arial"/>
          <w:spacing w:val="-1"/>
          <w:sz w:val="17"/>
          <w:szCs w:val="17"/>
        </w:rPr>
        <w:br w:type="page"/>
      </w:r>
    </w:p>
    <w:p w:rsidR="00644E1F" w:rsidRPr="002D70DA" w:rsidRDefault="00644E1F" w:rsidP="003A78D7">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Flujos de Efectivo</w:t>
      </w:r>
    </w:p>
    <w:p w:rsidR="00644E1F" w:rsidRPr="002D70DA" w:rsidRDefault="00644E1F" w:rsidP="00644E1F">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2016</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85,014</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96,</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37,249,316.91</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23,183,815.51</w:t>
            </w:r>
            <w:r w:rsidRPr="002D70DA">
              <w:rPr>
                <w:rFonts w:ascii="Arial" w:hAnsi="Arial" w:cs="Arial"/>
                <w:b/>
                <w:bCs/>
                <w:color w:val="000000"/>
                <w:sz w:val="17"/>
                <w:szCs w:val="17"/>
              </w:rPr>
              <w:fldChar w:fldCharType="end"/>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44E1F" w:rsidRPr="002D70DA" w:rsidTr="00644E1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596,915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44E1F" w:rsidRPr="002D70DA" w:rsidRDefault="00644E1F" w:rsidP="00644E1F">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644E1F" w:rsidRPr="002D70DA" w:rsidRDefault="00644E1F" w:rsidP="00644E1F">
            <w:pPr>
              <w:jc w:val="right"/>
              <w:rPr>
                <w:rFonts w:ascii="Arial" w:hAnsi="Arial" w:cs="Arial"/>
                <w:b/>
                <w:bCs/>
                <w:color w:val="000000"/>
                <w:sz w:val="17"/>
                <w:szCs w:val="17"/>
              </w:rPr>
            </w:pPr>
            <w:r>
              <w:rPr>
                <w:rFonts w:ascii="Arial" w:hAnsi="Arial" w:cs="Arial"/>
                <w:b/>
                <w:bCs/>
                <w:color w:val="000000"/>
                <w:sz w:val="17"/>
                <w:szCs w:val="17"/>
              </w:rPr>
              <w:t>30,964,821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644E1F" w:rsidRPr="002D70DA" w:rsidRDefault="00644E1F" w:rsidP="00644E1F">
      <w:pPr>
        <w:spacing w:before="80" w:line="250" w:lineRule="exact"/>
        <w:ind w:left="709"/>
        <w:jc w:val="both"/>
        <w:rPr>
          <w:rFonts w:ascii="Arial" w:eastAsia="Calibri" w:hAnsi="Arial" w:cs="Arial"/>
          <w:spacing w:val="-1"/>
          <w:sz w:val="17"/>
          <w:szCs w:val="17"/>
        </w:rPr>
      </w:pPr>
    </w:p>
    <w:p w:rsidR="00644E1F" w:rsidRPr="002D70DA" w:rsidRDefault="00644E1F" w:rsidP="00644E1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Default="00644E1F" w:rsidP="00644E1F">
      <w:pPr>
        <w:autoSpaceDE w:val="0"/>
        <w:autoSpaceDN w:val="0"/>
        <w:adjustRightInd w:val="0"/>
        <w:spacing w:before="240" w:after="120"/>
        <w:jc w:val="center"/>
        <w:rPr>
          <w:rFonts w:ascii="Arial" w:eastAsia="Calibri" w:hAnsi="Arial" w:cs="Arial"/>
          <w:b/>
          <w:spacing w:val="-1"/>
          <w:sz w:val="17"/>
          <w:szCs w:val="17"/>
        </w:rPr>
      </w:pPr>
    </w:p>
    <w:p w:rsidR="00644E1F" w:rsidRPr="002D70DA" w:rsidRDefault="00644E1F" w:rsidP="00644E1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tblPr>
      <w:tblGrid>
        <w:gridCol w:w="4900"/>
        <w:gridCol w:w="2180"/>
        <w:gridCol w:w="2180"/>
      </w:tblGrid>
      <w:tr w:rsidR="00644E1F" w:rsidRPr="002D70DA" w:rsidTr="00644E1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44E1F" w:rsidRPr="002D70DA" w:rsidRDefault="00644E1F" w:rsidP="00644E1F">
            <w:pPr>
              <w:jc w:val="center"/>
              <w:rPr>
                <w:rFonts w:ascii="Arial" w:hAnsi="Arial" w:cs="Arial"/>
                <w:b/>
                <w:bCs/>
                <w:color w:val="000000"/>
                <w:sz w:val="17"/>
                <w:szCs w:val="17"/>
              </w:rPr>
            </w:pPr>
            <w:r>
              <w:rPr>
                <w:rFonts w:ascii="Arial" w:hAnsi="Arial" w:cs="Arial"/>
                <w:b/>
                <w:bCs/>
                <w:color w:val="000000"/>
                <w:sz w:val="17"/>
                <w:szCs w:val="17"/>
              </w:rPr>
              <w:t>2015</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644E1F" w:rsidP="00644E1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58,254,062</w:t>
            </w:r>
            <w:r w:rsidR="00644E1F" w:rsidRPr="002D70DA">
              <w:rPr>
                <w:rFonts w:ascii="Arial" w:hAnsi="Arial" w:cs="Arial"/>
                <w:b/>
                <w:bCs/>
                <w:noProof/>
                <w:color w:val="000000"/>
                <w:sz w:val="17"/>
                <w:szCs w:val="17"/>
              </w:rPr>
              <w:t>.</w:t>
            </w:r>
            <w:r w:rsidR="00644E1F">
              <w:rPr>
                <w:rFonts w:ascii="Arial" w:hAnsi="Arial" w:cs="Arial"/>
                <w:b/>
                <w:bCs/>
                <w:noProof/>
                <w:color w:val="000000"/>
                <w:sz w:val="17"/>
                <w:szCs w:val="17"/>
              </w:rPr>
              <w:t>66</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sidRPr="002D70DA">
              <w:rPr>
                <w:rFonts w:ascii="Arial" w:hAnsi="Arial" w:cs="Arial"/>
                <w:b/>
                <w:bCs/>
                <w:noProof/>
                <w:color w:val="000000"/>
                <w:sz w:val="17"/>
                <w:szCs w:val="17"/>
              </w:rPr>
              <w:t xml:space="preserve">$   </w:t>
            </w:r>
            <w:r w:rsidR="00644E1F">
              <w:rPr>
                <w:rFonts w:ascii="Arial" w:hAnsi="Arial" w:cs="Arial"/>
                <w:b/>
                <w:bCs/>
                <w:noProof/>
                <w:color w:val="000000"/>
                <w:sz w:val="17"/>
                <w:szCs w:val="17"/>
              </w:rPr>
              <w:t>39,979,147</w:t>
            </w:r>
            <w:r w:rsidR="00644E1F"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r w:rsidR="00644E1F">
              <w:rPr>
                <w:rFonts w:ascii="Arial" w:hAnsi="Arial" w:cs="Arial"/>
                <w:b/>
                <w:bCs/>
                <w:color w:val="000000"/>
                <w:sz w:val="17"/>
                <w:szCs w:val="17"/>
              </w:rPr>
              <w:t>92</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sidRPr="00B178A6">
              <w:rPr>
                <w:rFonts w:ascii="Arial" w:hAnsi="Arial" w:cs="Arial"/>
                <w:b/>
                <w:bCs/>
                <w:color w:val="000000"/>
                <w:sz w:val="17"/>
                <w:szCs w:val="17"/>
              </w:rPr>
              <w:t>7</w:t>
            </w:r>
            <w:r>
              <w:rPr>
                <w:rFonts w:ascii="Arial" w:hAnsi="Arial" w:cs="Arial"/>
                <w:b/>
                <w:bCs/>
                <w:color w:val="000000"/>
                <w:sz w:val="17"/>
                <w:szCs w:val="17"/>
              </w:rPr>
              <w:t>,</w:t>
            </w:r>
            <w:r w:rsidRPr="00B178A6">
              <w:rPr>
                <w:rFonts w:ascii="Arial" w:hAnsi="Arial" w:cs="Arial"/>
                <w:b/>
                <w:bCs/>
                <w:color w:val="000000"/>
                <w:sz w:val="17"/>
                <w:szCs w:val="17"/>
              </w:rPr>
              <w:t>709</w:t>
            </w:r>
            <w:r>
              <w:rPr>
                <w:rFonts w:ascii="Arial" w:hAnsi="Arial" w:cs="Arial"/>
                <w:b/>
                <w:bCs/>
                <w:color w:val="000000"/>
                <w:sz w:val="17"/>
                <w:szCs w:val="17"/>
              </w:rPr>
              <w:t>,</w:t>
            </w:r>
            <w:r w:rsidRPr="00B178A6">
              <w:rPr>
                <w:rFonts w:ascii="Arial" w:hAnsi="Arial" w:cs="Arial"/>
                <w:b/>
                <w:bCs/>
                <w:color w:val="000000"/>
                <w:sz w:val="17"/>
                <w:szCs w:val="17"/>
              </w:rPr>
              <w:t>961.88</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sidRPr="00B178A6">
              <w:rPr>
                <w:rFonts w:ascii="Arial" w:hAnsi="Arial" w:cs="Arial"/>
                <w:b/>
                <w:bCs/>
                <w:color w:val="000000"/>
                <w:sz w:val="17"/>
                <w:szCs w:val="17"/>
              </w:rPr>
              <w:t>8</w:t>
            </w:r>
            <w:r>
              <w:rPr>
                <w:rFonts w:ascii="Arial" w:hAnsi="Arial" w:cs="Arial"/>
                <w:b/>
                <w:bCs/>
                <w:color w:val="000000"/>
                <w:sz w:val="17"/>
                <w:szCs w:val="17"/>
              </w:rPr>
              <w:t>,</w:t>
            </w:r>
            <w:r w:rsidRPr="00B178A6">
              <w:rPr>
                <w:rFonts w:ascii="Arial" w:hAnsi="Arial" w:cs="Arial"/>
                <w:b/>
                <w:bCs/>
                <w:color w:val="000000"/>
                <w:sz w:val="17"/>
                <w:szCs w:val="17"/>
              </w:rPr>
              <w:t>305</w:t>
            </w:r>
            <w:r>
              <w:rPr>
                <w:rFonts w:ascii="Arial" w:hAnsi="Arial" w:cs="Arial"/>
                <w:b/>
                <w:bCs/>
                <w:color w:val="000000"/>
                <w:sz w:val="17"/>
                <w:szCs w:val="17"/>
              </w:rPr>
              <w:t>,</w:t>
            </w:r>
            <w:r w:rsidRPr="00B178A6">
              <w:rPr>
                <w:rFonts w:ascii="Arial" w:hAnsi="Arial" w:cs="Arial"/>
                <w:b/>
                <w:bCs/>
                <w:color w:val="000000"/>
                <w:sz w:val="17"/>
                <w:szCs w:val="17"/>
              </w:rPr>
              <w:t>702.96</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sidRPr="00AF2503">
              <w:rPr>
                <w:rFonts w:ascii="Arial" w:hAnsi="Arial" w:cs="Arial"/>
                <w:b/>
                <w:bCs/>
                <w:color w:val="000000"/>
                <w:sz w:val="17"/>
                <w:szCs w:val="17"/>
              </w:rPr>
              <w:t>14</w:t>
            </w:r>
            <w:r>
              <w:rPr>
                <w:rFonts w:ascii="Arial" w:hAnsi="Arial" w:cs="Arial"/>
                <w:b/>
                <w:bCs/>
                <w:color w:val="000000"/>
                <w:sz w:val="17"/>
                <w:szCs w:val="17"/>
              </w:rPr>
              <w:t>,</w:t>
            </w:r>
            <w:r w:rsidRPr="00AF2503">
              <w:rPr>
                <w:rFonts w:ascii="Arial" w:hAnsi="Arial" w:cs="Arial"/>
                <w:b/>
                <w:bCs/>
                <w:color w:val="000000"/>
                <w:sz w:val="17"/>
                <w:szCs w:val="17"/>
              </w:rPr>
              <w:t>017</w:t>
            </w:r>
            <w:r>
              <w:rPr>
                <w:rFonts w:ascii="Arial" w:hAnsi="Arial" w:cs="Arial"/>
                <w:b/>
                <w:bCs/>
                <w:color w:val="000000"/>
                <w:sz w:val="17"/>
                <w:szCs w:val="17"/>
              </w:rPr>
              <w:t>,</w:t>
            </w:r>
            <w:r w:rsidRPr="00AF2503">
              <w:rPr>
                <w:rFonts w:ascii="Arial" w:hAnsi="Arial" w:cs="Arial"/>
                <w:b/>
                <w:bCs/>
                <w:color w:val="000000"/>
                <w:sz w:val="17"/>
                <w:szCs w:val="17"/>
              </w:rPr>
              <w:t>252.55</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sidRPr="00AF2503">
              <w:rPr>
                <w:rFonts w:ascii="Arial" w:hAnsi="Arial" w:cs="Arial"/>
                <w:b/>
                <w:bCs/>
                <w:color w:val="000000"/>
                <w:sz w:val="17"/>
                <w:szCs w:val="17"/>
              </w:rPr>
              <w:t>11</w:t>
            </w:r>
            <w:r>
              <w:rPr>
                <w:rFonts w:ascii="Arial" w:hAnsi="Arial" w:cs="Arial"/>
                <w:b/>
                <w:bCs/>
                <w:color w:val="000000"/>
                <w:sz w:val="17"/>
                <w:szCs w:val="17"/>
              </w:rPr>
              <w:t>,</w:t>
            </w:r>
            <w:r w:rsidRPr="00AF2503">
              <w:rPr>
                <w:rFonts w:ascii="Arial" w:hAnsi="Arial" w:cs="Arial"/>
                <w:b/>
                <w:bCs/>
                <w:color w:val="000000"/>
                <w:sz w:val="17"/>
                <w:szCs w:val="17"/>
              </w:rPr>
              <w:t>725</w:t>
            </w:r>
            <w:r>
              <w:rPr>
                <w:rFonts w:ascii="Arial" w:hAnsi="Arial" w:cs="Arial"/>
                <w:b/>
                <w:bCs/>
                <w:color w:val="000000"/>
                <w:sz w:val="17"/>
                <w:szCs w:val="17"/>
              </w:rPr>
              <w:t>,</w:t>
            </w:r>
            <w:r w:rsidRPr="00AF2503">
              <w:rPr>
                <w:rFonts w:ascii="Arial" w:hAnsi="Arial" w:cs="Arial"/>
                <w:b/>
                <w:bCs/>
                <w:color w:val="000000"/>
                <w:sz w:val="17"/>
                <w:szCs w:val="17"/>
              </w:rPr>
              <w:t>109.97</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sidRPr="00B178A6">
              <w:rPr>
                <w:rFonts w:ascii="Arial" w:hAnsi="Arial" w:cs="Arial"/>
                <w:b/>
                <w:bCs/>
                <w:color w:val="000000"/>
                <w:sz w:val="17"/>
                <w:szCs w:val="17"/>
              </w:rPr>
              <w:t>36</w:t>
            </w:r>
            <w:r>
              <w:rPr>
                <w:rFonts w:ascii="Arial" w:hAnsi="Arial" w:cs="Arial"/>
                <w:b/>
                <w:bCs/>
                <w:color w:val="000000"/>
                <w:sz w:val="17"/>
                <w:szCs w:val="17"/>
              </w:rPr>
              <w:t>,</w:t>
            </w:r>
            <w:r w:rsidRPr="00B178A6">
              <w:rPr>
                <w:rFonts w:ascii="Arial" w:hAnsi="Arial" w:cs="Arial"/>
                <w:b/>
                <w:bCs/>
                <w:color w:val="000000"/>
                <w:sz w:val="17"/>
                <w:szCs w:val="17"/>
              </w:rPr>
              <w:t>526</w:t>
            </w:r>
            <w:r>
              <w:rPr>
                <w:rFonts w:ascii="Arial" w:hAnsi="Arial" w:cs="Arial"/>
                <w:b/>
                <w:bCs/>
                <w:color w:val="000000"/>
                <w:sz w:val="17"/>
                <w:szCs w:val="17"/>
              </w:rPr>
              <w:t>,</w:t>
            </w:r>
            <w:r w:rsidRPr="00B178A6">
              <w:rPr>
                <w:rFonts w:ascii="Arial" w:hAnsi="Arial" w:cs="Arial"/>
                <w:b/>
                <w:bCs/>
                <w:color w:val="000000"/>
                <w:sz w:val="17"/>
                <w:szCs w:val="17"/>
              </w:rPr>
              <w:t>848.23</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r w:rsidRPr="00B178A6">
              <w:rPr>
                <w:rFonts w:ascii="Arial" w:hAnsi="Arial" w:cs="Arial"/>
                <w:b/>
                <w:bCs/>
                <w:color w:val="000000"/>
                <w:sz w:val="17"/>
                <w:szCs w:val="17"/>
              </w:rPr>
              <w:t>19</w:t>
            </w:r>
            <w:r>
              <w:rPr>
                <w:rFonts w:ascii="Arial" w:hAnsi="Arial" w:cs="Arial"/>
                <w:b/>
                <w:bCs/>
                <w:color w:val="000000"/>
                <w:sz w:val="17"/>
                <w:szCs w:val="17"/>
              </w:rPr>
              <w:t>,</w:t>
            </w:r>
            <w:r w:rsidRPr="00B178A6">
              <w:rPr>
                <w:rFonts w:ascii="Arial" w:hAnsi="Arial" w:cs="Arial"/>
                <w:b/>
                <w:bCs/>
                <w:color w:val="000000"/>
                <w:sz w:val="17"/>
                <w:szCs w:val="17"/>
              </w:rPr>
              <w:t>948</w:t>
            </w:r>
            <w:r>
              <w:rPr>
                <w:rFonts w:ascii="Arial" w:hAnsi="Arial" w:cs="Arial"/>
                <w:b/>
                <w:bCs/>
                <w:color w:val="000000"/>
                <w:sz w:val="17"/>
                <w:szCs w:val="17"/>
              </w:rPr>
              <w:t>,</w:t>
            </w:r>
            <w:r w:rsidRPr="00B178A6">
              <w:rPr>
                <w:rFonts w:ascii="Arial" w:hAnsi="Arial" w:cs="Arial"/>
                <w:b/>
                <w:bCs/>
                <w:color w:val="000000"/>
                <w:sz w:val="17"/>
                <w:szCs w:val="17"/>
              </w:rPr>
              <w:t>334.99</w:t>
            </w: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44E1F" w:rsidRPr="002D70DA" w:rsidRDefault="00644E1F" w:rsidP="00644E1F">
            <w:pPr>
              <w:jc w:val="right"/>
              <w:rPr>
                <w:rFonts w:ascii="Arial" w:hAnsi="Arial" w:cs="Arial"/>
                <w:b/>
                <w:bCs/>
                <w:color w:val="000000"/>
                <w:sz w:val="17"/>
                <w:szCs w:val="17"/>
              </w:rPr>
            </w:pPr>
          </w:p>
        </w:tc>
      </w:tr>
      <w:tr w:rsidR="00644E1F" w:rsidRPr="002D70DA" w:rsidTr="00644E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44E1F" w:rsidRPr="002D70DA" w:rsidRDefault="00644E1F" w:rsidP="00644E1F">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 xml:space="preserve">$   </w:t>
            </w:r>
            <w:r w:rsidR="00644E1F" w:rsidRPr="00C37DDC">
              <w:rPr>
                <w:rFonts w:ascii="Arial" w:hAnsi="Arial" w:cs="Arial"/>
                <w:b/>
                <w:bCs/>
                <w:noProof/>
                <w:color w:val="000000"/>
                <w:sz w:val="17"/>
                <w:szCs w:val="17"/>
              </w:rPr>
              <w:t>38</w:t>
            </w:r>
            <w:r w:rsidR="00644E1F">
              <w:rPr>
                <w:rFonts w:ascii="Arial" w:hAnsi="Arial" w:cs="Arial"/>
                <w:b/>
                <w:bCs/>
                <w:noProof/>
                <w:color w:val="000000"/>
                <w:sz w:val="17"/>
                <w:szCs w:val="17"/>
              </w:rPr>
              <w:t>,</w:t>
            </w:r>
            <w:r w:rsidR="00644E1F" w:rsidRPr="00C37DDC">
              <w:rPr>
                <w:rFonts w:ascii="Arial" w:hAnsi="Arial" w:cs="Arial"/>
                <w:b/>
                <w:bCs/>
                <w:noProof/>
                <w:color w:val="000000"/>
                <w:sz w:val="17"/>
                <w:szCs w:val="17"/>
              </w:rPr>
              <w:t>979</w:t>
            </w:r>
            <w:r w:rsidR="00644E1F">
              <w:rPr>
                <w:rFonts w:ascii="Arial" w:hAnsi="Arial" w:cs="Arial"/>
                <w:b/>
                <w:bCs/>
                <w:noProof/>
                <w:color w:val="000000"/>
                <w:sz w:val="17"/>
                <w:szCs w:val="17"/>
              </w:rPr>
              <w:t>,</w:t>
            </w:r>
            <w:r w:rsidR="00644E1F" w:rsidRPr="00C37DDC">
              <w:rPr>
                <w:rFonts w:ascii="Arial" w:hAnsi="Arial" w:cs="Arial"/>
                <w:b/>
                <w:bCs/>
                <w:noProof/>
                <w:color w:val="000000"/>
                <w:sz w:val="17"/>
                <w:szCs w:val="17"/>
              </w:rPr>
              <w:t>308.01</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44E1F" w:rsidRPr="002D70DA" w:rsidRDefault="00111A83" w:rsidP="00644E1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44E1F"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644E1F">
              <w:rPr>
                <w:rFonts w:ascii="Arial" w:hAnsi="Arial" w:cs="Arial"/>
                <w:b/>
                <w:bCs/>
                <w:noProof/>
                <w:color w:val="000000"/>
                <w:sz w:val="17"/>
                <w:szCs w:val="17"/>
              </w:rPr>
              <w:t xml:space="preserve">$   </w:t>
            </w:r>
            <w:r w:rsidR="00644E1F" w:rsidRPr="00C37DDC">
              <w:rPr>
                <w:rFonts w:ascii="Arial" w:hAnsi="Arial" w:cs="Arial"/>
                <w:b/>
                <w:bCs/>
                <w:noProof/>
                <w:color w:val="000000"/>
                <w:sz w:val="17"/>
                <w:szCs w:val="17"/>
              </w:rPr>
              <w:t>37</w:t>
            </w:r>
            <w:r w:rsidR="00644E1F">
              <w:rPr>
                <w:rFonts w:ascii="Arial" w:hAnsi="Arial" w:cs="Arial"/>
                <w:b/>
                <w:bCs/>
                <w:noProof/>
                <w:color w:val="000000"/>
                <w:sz w:val="17"/>
                <w:szCs w:val="17"/>
              </w:rPr>
              <w:t>,</w:t>
            </w:r>
            <w:r w:rsidR="00644E1F" w:rsidRPr="00C37DDC">
              <w:rPr>
                <w:rFonts w:ascii="Arial" w:hAnsi="Arial" w:cs="Arial"/>
                <w:b/>
                <w:bCs/>
                <w:noProof/>
                <w:color w:val="000000"/>
                <w:sz w:val="17"/>
                <w:szCs w:val="17"/>
              </w:rPr>
              <w:t>553</w:t>
            </w:r>
            <w:r w:rsidR="00644E1F">
              <w:rPr>
                <w:rFonts w:ascii="Arial" w:hAnsi="Arial" w:cs="Arial"/>
                <w:b/>
                <w:bCs/>
                <w:noProof/>
                <w:color w:val="000000"/>
                <w:sz w:val="17"/>
                <w:szCs w:val="17"/>
              </w:rPr>
              <w:t>,</w:t>
            </w:r>
            <w:r w:rsidR="00644E1F" w:rsidRPr="00C37DDC">
              <w:rPr>
                <w:rFonts w:ascii="Arial" w:hAnsi="Arial" w:cs="Arial"/>
                <w:b/>
                <w:bCs/>
                <w:noProof/>
                <w:color w:val="000000"/>
                <w:sz w:val="17"/>
                <w:szCs w:val="17"/>
              </w:rPr>
              <w:t xml:space="preserve">196.24 </w:t>
            </w:r>
            <w:r w:rsidRPr="002D70DA">
              <w:rPr>
                <w:rFonts w:ascii="Arial" w:hAnsi="Arial" w:cs="Arial"/>
                <w:b/>
                <w:bCs/>
                <w:color w:val="000000"/>
                <w:sz w:val="17"/>
                <w:szCs w:val="17"/>
              </w:rPr>
              <w:fldChar w:fldCharType="end"/>
            </w:r>
          </w:p>
        </w:tc>
      </w:tr>
    </w:tbl>
    <w:p w:rsidR="000B0AAA" w:rsidRPr="009B7F93" w:rsidRDefault="000B0AAA" w:rsidP="00846F07">
      <w:pPr>
        <w:pStyle w:val="Prrafodelista"/>
        <w:numPr>
          <w:ilvl w:val="0"/>
          <w:numId w:val="22"/>
        </w:numPr>
        <w:autoSpaceDE w:val="0"/>
        <w:autoSpaceDN w:val="0"/>
        <w:adjustRightInd w:val="0"/>
        <w:spacing w:before="240" w:after="120"/>
        <w:jc w:val="both"/>
        <w:rPr>
          <w:rFonts w:ascii="Arial" w:hAnsi="Arial" w:cs="Arial"/>
          <w:b/>
          <w:sz w:val="17"/>
          <w:szCs w:val="17"/>
        </w:rPr>
      </w:pPr>
      <w:r w:rsidRPr="009B7F93">
        <w:rPr>
          <w:rFonts w:ascii="Arial" w:hAnsi="Arial" w:cs="Arial"/>
          <w:b/>
          <w:sz w:val="17"/>
          <w:szCs w:val="17"/>
        </w:rPr>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754ACC" w:rsidP="00ED50F9">
            <w:pPr>
              <w:jc w:val="right"/>
              <w:rPr>
                <w:rFonts w:ascii="Arial" w:hAnsi="Arial" w:cs="Arial"/>
                <w:b/>
                <w:bCs/>
                <w:color w:val="000000"/>
                <w:sz w:val="17"/>
                <w:szCs w:val="17"/>
              </w:rPr>
            </w:pPr>
            <w:r>
              <w:rPr>
                <w:rFonts w:ascii="Arial" w:hAnsi="Arial" w:cs="Arial"/>
                <w:b/>
                <w:bCs/>
                <w:color w:val="000000"/>
                <w:sz w:val="17"/>
                <w:szCs w:val="17"/>
              </w:rPr>
              <w:t xml:space="preserve">  $   </w:t>
            </w:r>
            <w:r w:rsidR="00FD3193">
              <w:rPr>
                <w:rFonts w:ascii="Arial" w:hAnsi="Arial" w:cs="Arial"/>
                <w:b/>
                <w:bCs/>
                <w:color w:val="000000"/>
                <w:sz w:val="17"/>
                <w:szCs w:val="17"/>
              </w:rPr>
              <w:t>2</w:t>
            </w:r>
            <w:r w:rsidR="004B4183">
              <w:rPr>
                <w:rFonts w:ascii="Arial" w:hAnsi="Arial" w:cs="Arial"/>
                <w:b/>
                <w:bCs/>
                <w:color w:val="000000"/>
                <w:sz w:val="17"/>
                <w:szCs w:val="17"/>
              </w:rPr>
              <w:t>13</w:t>
            </w:r>
            <w:r w:rsidR="00ED50F9">
              <w:rPr>
                <w:rFonts w:ascii="Arial" w:hAnsi="Arial" w:cs="Arial"/>
                <w:b/>
                <w:bCs/>
                <w:color w:val="000000"/>
                <w:sz w:val="17"/>
                <w:szCs w:val="17"/>
              </w:rPr>
              <w:t>,</w:t>
            </w:r>
            <w:r w:rsidR="004B4183">
              <w:rPr>
                <w:rFonts w:ascii="Arial" w:hAnsi="Arial" w:cs="Arial"/>
                <w:b/>
                <w:bCs/>
                <w:color w:val="000000"/>
                <w:sz w:val="17"/>
                <w:szCs w:val="17"/>
              </w:rPr>
              <w:t>299</w:t>
            </w:r>
            <w:r w:rsidR="00ED50F9">
              <w:rPr>
                <w:rFonts w:ascii="Arial" w:hAnsi="Arial" w:cs="Arial"/>
                <w:b/>
                <w:bCs/>
                <w:color w:val="000000"/>
                <w:sz w:val="17"/>
                <w:szCs w:val="17"/>
              </w:rPr>
              <w:t>,</w:t>
            </w:r>
            <w:r w:rsidR="004B4183">
              <w:rPr>
                <w:rFonts w:ascii="Arial" w:hAnsi="Arial" w:cs="Arial"/>
                <w:b/>
                <w:bCs/>
                <w:color w:val="000000"/>
                <w:sz w:val="17"/>
                <w:szCs w:val="17"/>
              </w:rPr>
              <w:t>0</w:t>
            </w:r>
            <w:r w:rsidR="0061722F">
              <w:rPr>
                <w:rFonts w:ascii="Arial" w:hAnsi="Arial" w:cs="Arial"/>
                <w:b/>
                <w:bCs/>
                <w:color w:val="000000"/>
                <w:sz w:val="17"/>
                <w:szCs w:val="17"/>
              </w:rPr>
              <w:t>33</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11A83"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11A83"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D50F9">
              <w:rPr>
                <w:rFonts w:ascii="Arial" w:hAnsi="Arial" w:cs="Arial"/>
                <w:b/>
                <w:bCs/>
                <w:noProof/>
                <w:color w:val="000000"/>
                <w:sz w:val="17"/>
                <w:szCs w:val="17"/>
              </w:rPr>
              <w:t xml:space="preserve">$   </w:t>
            </w:r>
            <w:r w:rsidR="004B4183">
              <w:rPr>
                <w:rFonts w:ascii="Arial" w:hAnsi="Arial" w:cs="Arial"/>
                <w:b/>
                <w:bCs/>
                <w:noProof/>
                <w:color w:val="000000"/>
                <w:sz w:val="17"/>
                <w:szCs w:val="17"/>
              </w:rPr>
              <w:t>5,898,400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9B7FC7"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9B7FC7" w:rsidRPr="002D70DA" w:rsidRDefault="009B7FC7" w:rsidP="002746E2">
            <w:pPr>
              <w:ind w:firstLineChars="100" w:firstLine="170"/>
              <w:rPr>
                <w:rFonts w:ascii="Arial" w:hAnsi="Arial" w:cs="Arial"/>
                <w:color w:val="000000"/>
                <w:sz w:val="17"/>
                <w:szCs w:val="17"/>
              </w:rPr>
            </w:pPr>
            <w:r>
              <w:rPr>
                <w:rFonts w:ascii="Arial" w:hAnsi="Arial" w:cs="Arial"/>
                <w:color w:val="000000"/>
                <w:sz w:val="17"/>
                <w:szCs w:val="17"/>
              </w:rPr>
              <w:t xml:space="preserve">       </w:t>
            </w:r>
            <w:r w:rsidR="004B4183">
              <w:rPr>
                <w:rFonts w:ascii="Arial" w:hAnsi="Arial" w:cs="Arial"/>
                <w:color w:val="000000"/>
                <w:sz w:val="17"/>
                <w:szCs w:val="17"/>
              </w:rPr>
              <w:t>Recurso PROFIGE</w:t>
            </w:r>
          </w:p>
        </w:tc>
        <w:tc>
          <w:tcPr>
            <w:tcW w:w="2180" w:type="dxa"/>
            <w:tcBorders>
              <w:top w:val="nil"/>
              <w:left w:val="nil"/>
              <w:bottom w:val="single" w:sz="4" w:space="0" w:color="auto"/>
              <w:right w:val="single" w:sz="4" w:space="0" w:color="auto"/>
            </w:tcBorders>
            <w:shd w:val="clear" w:color="000000" w:fill="FFFFFF"/>
            <w:vAlign w:val="center"/>
          </w:tcPr>
          <w:p w:rsidR="009B7FC7" w:rsidRDefault="00122753" w:rsidP="002746E2">
            <w:pPr>
              <w:jc w:val="right"/>
              <w:rPr>
                <w:rFonts w:ascii="Arial" w:hAnsi="Arial" w:cs="Arial"/>
                <w:b/>
                <w:bCs/>
                <w:color w:val="000000"/>
                <w:sz w:val="17"/>
                <w:szCs w:val="17"/>
              </w:rPr>
            </w:pPr>
            <w:r>
              <w:rPr>
                <w:rFonts w:ascii="Arial" w:hAnsi="Arial" w:cs="Arial"/>
                <w:b/>
                <w:bCs/>
                <w:color w:val="000000"/>
                <w:sz w:val="17"/>
                <w:szCs w:val="17"/>
              </w:rPr>
              <w:t xml:space="preserve">   $   </w:t>
            </w:r>
            <w:r w:rsidR="004B4183">
              <w:rPr>
                <w:rFonts w:ascii="Arial" w:hAnsi="Arial" w:cs="Arial"/>
                <w:b/>
                <w:bCs/>
                <w:color w:val="000000"/>
                <w:sz w:val="17"/>
                <w:szCs w:val="17"/>
              </w:rPr>
              <w:t>5</w:t>
            </w:r>
            <w:r w:rsidR="009B7FC7">
              <w:rPr>
                <w:rFonts w:ascii="Arial" w:hAnsi="Arial" w:cs="Arial"/>
                <w:b/>
                <w:bCs/>
                <w:color w:val="000000"/>
                <w:sz w:val="17"/>
                <w:szCs w:val="17"/>
              </w:rPr>
              <w:t>,</w:t>
            </w:r>
            <w:r w:rsidR="004B4183">
              <w:rPr>
                <w:rFonts w:ascii="Arial" w:hAnsi="Arial" w:cs="Arial"/>
                <w:b/>
                <w:bCs/>
                <w:color w:val="000000"/>
                <w:sz w:val="17"/>
                <w:szCs w:val="17"/>
              </w:rPr>
              <w:t>898</w:t>
            </w:r>
            <w:r w:rsidR="009B7FC7">
              <w:rPr>
                <w:rFonts w:ascii="Arial" w:hAnsi="Arial" w:cs="Arial"/>
                <w:b/>
                <w:bCs/>
                <w:color w:val="000000"/>
                <w:sz w:val="17"/>
                <w:szCs w:val="17"/>
              </w:rPr>
              <w:t>,</w:t>
            </w:r>
            <w:r w:rsidR="004B4183">
              <w:rPr>
                <w:rFonts w:ascii="Arial" w:hAnsi="Arial" w:cs="Arial"/>
                <w:b/>
                <w:bCs/>
                <w:color w:val="000000"/>
                <w:sz w:val="17"/>
                <w:szCs w:val="17"/>
              </w:rPr>
              <w:t>400</w:t>
            </w:r>
          </w:p>
        </w:tc>
        <w:tc>
          <w:tcPr>
            <w:tcW w:w="2180" w:type="dxa"/>
            <w:tcBorders>
              <w:top w:val="nil"/>
              <w:left w:val="nil"/>
              <w:bottom w:val="single" w:sz="4" w:space="0" w:color="auto"/>
              <w:right w:val="single" w:sz="4" w:space="0" w:color="auto"/>
            </w:tcBorders>
            <w:shd w:val="clear" w:color="000000" w:fill="FFFFFF"/>
            <w:vAlign w:val="center"/>
          </w:tcPr>
          <w:p w:rsidR="009B7FC7" w:rsidRPr="002D70DA" w:rsidRDefault="009B7FC7"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11A83" w:rsidP="00ED50F9">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D50F9">
              <w:rPr>
                <w:rFonts w:ascii="Arial" w:hAnsi="Arial" w:cs="Arial"/>
                <w:b/>
                <w:bCs/>
                <w:noProof/>
                <w:color w:val="000000"/>
                <w:sz w:val="17"/>
                <w:szCs w:val="17"/>
              </w:rPr>
              <w:t xml:space="preserve">$   </w:t>
            </w:r>
            <w:r w:rsidR="00122753">
              <w:rPr>
                <w:rFonts w:ascii="Arial" w:hAnsi="Arial" w:cs="Arial"/>
                <w:b/>
                <w:bCs/>
                <w:noProof/>
                <w:color w:val="000000"/>
                <w:sz w:val="17"/>
                <w:szCs w:val="17"/>
              </w:rPr>
              <w:t>20</w:t>
            </w:r>
            <w:r w:rsidRPr="002D70DA">
              <w:rPr>
                <w:rFonts w:ascii="Arial" w:hAnsi="Arial" w:cs="Arial"/>
                <w:b/>
                <w:bCs/>
                <w:color w:val="000000"/>
                <w:sz w:val="17"/>
                <w:szCs w:val="17"/>
              </w:rPr>
              <w:fldChar w:fldCharType="end"/>
            </w:r>
            <w:r w:rsidR="00122753">
              <w:rPr>
                <w:rFonts w:ascii="Arial" w:hAnsi="Arial" w:cs="Arial"/>
                <w:b/>
                <w:bCs/>
                <w:color w:val="000000"/>
                <w:sz w:val="17"/>
                <w:szCs w:val="17"/>
              </w:rPr>
              <w:t>7,400,633</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9868D0" w:rsidP="009868D0">
            <w:pPr>
              <w:jc w:val="right"/>
              <w:rPr>
                <w:rFonts w:ascii="Arial" w:hAnsi="Arial" w:cs="Arial"/>
                <w:b/>
                <w:bCs/>
                <w:color w:val="000000"/>
                <w:sz w:val="17"/>
                <w:szCs w:val="17"/>
              </w:rPr>
            </w:pPr>
            <w:r>
              <w:rPr>
                <w:rFonts w:ascii="Arial" w:hAnsi="Arial" w:cs="Arial"/>
                <w:b/>
                <w:bCs/>
                <w:color w:val="000000"/>
                <w:sz w:val="17"/>
                <w:szCs w:val="17"/>
              </w:rPr>
              <w:t xml:space="preserve">$   </w:t>
            </w:r>
            <w:r w:rsidR="00CF1421">
              <w:rPr>
                <w:rFonts w:ascii="Arial" w:hAnsi="Arial" w:cs="Arial"/>
                <w:b/>
                <w:bCs/>
                <w:color w:val="000000"/>
                <w:sz w:val="17"/>
                <w:szCs w:val="17"/>
              </w:rPr>
              <w:t>205,600,973</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11A83"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007D476D">
              <w:rPr>
                <w:rFonts w:ascii="Arial" w:hAnsi="Arial" w:cs="Arial"/>
                <w:b/>
                <w:bCs/>
                <w:noProof/>
                <w:color w:val="000000"/>
                <w:sz w:val="17"/>
                <w:szCs w:val="17"/>
              </w:rPr>
              <w:t>84,534,277</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2,767,772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9,000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1,166,186</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F789D" w:rsidP="002746E2">
            <w:pPr>
              <w:jc w:val="right"/>
              <w:rPr>
                <w:rFonts w:ascii="Arial" w:hAnsi="Arial" w:cs="Arial"/>
                <w:b/>
                <w:bCs/>
                <w:color w:val="000000"/>
                <w:sz w:val="17"/>
                <w:szCs w:val="17"/>
              </w:rPr>
            </w:pPr>
            <w:r>
              <w:rPr>
                <w:rFonts w:ascii="Arial" w:hAnsi="Arial" w:cs="Arial"/>
                <w:b/>
                <w:bCs/>
                <w:color w:val="000000"/>
                <w:sz w:val="17"/>
                <w:szCs w:val="17"/>
              </w:rPr>
              <w:t>28</w:t>
            </w:r>
            <w:r w:rsidR="007D476D">
              <w:rPr>
                <w:rFonts w:ascii="Arial" w:hAnsi="Arial" w:cs="Arial"/>
                <w:b/>
                <w:bCs/>
                <w:color w:val="000000"/>
                <w:sz w:val="17"/>
                <w:szCs w:val="17"/>
              </w:rPr>
              <w:t>,</w:t>
            </w:r>
            <w:r>
              <w:rPr>
                <w:rFonts w:ascii="Arial" w:hAnsi="Arial" w:cs="Arial"/>
                <w:b/>
                <w:bCs/>
                <w:color w:val="000000"/>
                <w:sz w:val="17"/>
                <w:szCs w:val="17"/>
              </w:rPr>
              <w:t>590</w:t>
            </w:r>
            <w:r w:rsidR="007D476D">
              <w:rPr>
                <w:rFonts w:ascii="Arial" w:hAnsi="Arial" w:cs="Arial"/>
                <w:b/>
                <w:bCs/>
                <w:color w:val="000000"/>
                <w:sz w:val="17"/>
                <w:szCs w:val="17"/>
              </w:rPr>
              <w:t>,</w:t>
            </w:r>
            <w:r>
              <w:rPr>
                <w:rFonts w:ascii="Arial" w:hAnsi="Arial" w:cs="Arial"/>
                <w:b/>
                <w:bCs/>
                <w:color w:val="000000"/>
                <w:sz w:val="17"/>
                <w:szCs w:val="17"/>
              </w:rPr>
              <w:t>292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60,517</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2,845,258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7D476D" w:rsidP="002746E2">
            <w:pPr>
              <w:jc w:val="right"/>
              <w:rPr>
                <w:rFonts w:ascii="Arial" w:hAnsi="Arial" w:cs="Arial"/>
                <w:b/>
                <w:bCs/>
                <w:color w:val="000000"/>
                <w:sz w:val="17"/>
                <w:szCs w:val="17"/>
              </w:rPr>
            </w:pPr>
            <w:r>
              <w:rPr>
                <w:rFonts w:ascii="Arial" w:hAnsi="Arial" w:cs="Arial"/>
                <w:b/>
                <w:bCs/>
                <w:color w:val="000000"/>
                <w:sz w:val="17"/>
                <w:szCs w:val="17"/>
              </w:rPr>
              <w:t>41,789,819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9B7FC7"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547AA" w:rsidP="002746E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7D476D" w:rsidRDefault="007D476D" w:rsidP="002746E2">
            <w:pPr>
              <w:jc w:val="center"/>
              <w:rPr>
                <w:rFonts w:ascii="Arial" w:hAnsi="Arial" w:cs="Arial"/>
                <w:color w:val="000000"/>
                <w:sz w:val="17"/>
                <w:szCs w:val="17"/>
              </w:rPr>
            </w:pPr>
          </w:p>
          <w:p w:rsidR="007D476D" w:rsidRDefault="007D476D" w:rsidP="002746E2">
            <w:pPr>
              <w:jc w:val="center"/>
              <w:rPr>
                <w:rFonts w:ascii="Arial" w:hAnsi="Arial" w:cs="Arial"/>
                <w:color w:val="000000"/>
                <w:sz w:val="17"/>
                <w:szCs w:val="17"/>
              </w:rPr>
            </w:pPr>
          </w:p>
          <w:p w:rsidR="007D476D" w:rsidRDefault="007D476D" w:rsidP="002746E2">
            <w:pPr>
              <w:jc w:val="center"/>
              <w:rPr>
                <w:rFonts w:ascii="Arial" w:hAnsi="Arial" w:cs="Arial"/>
                <w:color w:val="000000"/>
                <w:sz w:val="17"/>
                <w:szCs w:val="17"/>
              </w:rPr>
            </w:pPr>
          </w:p>
          <w:p w:rsidR="007D476D" w:rsidRDefault="007D476D" w:rsidP="002746E2">
            <w:pPr>
              <w:jc w:val="center"/>
              <w:rPr>
                <w:rFonts w:ascii="Arial" w:hAnsi="Arial" w:cs="Arial"/>
                <w:color w:val="000000"/>
                <w:sz w:val="17"/>
                <w:szCs w:val="17"/>
              </w:rPr>
            </w:pPr>
          </w:p>
          <w:p w:rsidR="007D476D" w:rsidRDefault="007D476D" w:rsidP="002746E2">
            <w:pPr>
              <w:jc w:val="center"/>
              <w:rPr>
                <w:rFonts w:ascii="Arial" w:hAnsi="Arial" w:cs="Arial"/>
                <w:color w:val="000000"/>
                <w:sz w:val="17"/>
                <w:szCs w:val="17"/>
              </w:rPr>
            </w:pPr>
          </w:p>
          <w:p w:rsidR="007D476D" w:rsidRDefault="007D476D" w:rsidP="002746E2">
            <w:pPr>
              <w:jc w:val="center"/>
              <w:rPr>
                <w:rFonts w:ascii="Arial" w:hAnsi="Arial" w:cs="Arial"/>
                <w:color w:val="000000"/>
                <w:sz w:val="17"/>
                <w:szCs w:val="17"/>
              </w:rPr>
            </w:pPr>
          </w:p>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11A83" w:rsidP="009868D0">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9868D0">
              <w:rPr>
                <w:rFonts w:ascii="Arial" w:hAnsi="Arial" w:cs="Arial"/>
                <w:b/>
                <w:bCs/>
                <w:noProof/>
                <w:color w:val="000000"/>
                <w:sz w:val="17"/>
                <w:szCs w:val="17"/>
              </w:rPr>
              <w:t xml:space="preserve">$   </w:t>
            </w:r>
            <w:r w:rsidR="000547AA">
              <w:rPr>
                <w:rFonts w:ascii="Arial" w:hAnsi="Arial" w:cs="Arial"/>
                <w:b/>
                <w:bCs/>
                <w:noProof/>
                <w:color w:val="000000"/>
                <w:sz w:val="17"/>
                <w:szCs w:val="17"/>
              </w:rPr>
              <w:t>16,1</w:t>
            </w:r>
            <w:r w:rsidR="007D476D">
              <w:rPr>
                <w:rFonts w:ascii="Arial" w:hAnsi="Arial" w:cs="Arial"/>
                <w:b/>
                <w:bCs/>
                <w:noProof/>
                <w:color w:val="000000"/>
                <w:sz w:val="17"/>
                <w:szCs w:val="17"/>
              </w:rPr>
              <w:t>4</w:t>
            </w:r>
            <w:r w:rsidR="000547AA">
              <w:rPr>
                <w:rFonts w:ascii="Arial" w:hAnsi="Arial" w:cs="Arial"/>
                <w:b/>
                <w:bCs/>
                <w:noProof/>
                <w:color w:val="000000"/>
                <w:sz w:val="17"/>
                <w:szCs w:val="17"/>
              </w:rPr>
              <w:t>0</w:t>
            </w:r>
            <w:r w:rsidR="007D476D">
              <w:rPr>
                <w:rFonts w:ascii="Arial" w:hAnsi="Arial" w:cs="Arial"/>
                <w:b/>
                <w:bCs/>
                <w:noProof/>
                <w:color w:val="000000"/>
                <w:sz w:val="17"/>
                <w:szCs w:val="17"/>
              </w:rPr>
              <w:t>,</w:t>
            </w:r>
            <w:r w:rsidRPr="002D70DA">
              <w:rPr>
                <w:rFonts w:ascii="Arial" w:hAnsi="Arial" w:cs="Arial"/>
                <w:b/>
                <w:bCs/>
                <w:color w:val="000000"/>
                <w:sz w:val="17"/>
                <w:szCs w:val="17"/>
              </w:rPr>
              <w:fldChar w:fldCharType="end"/>
            </w:r>
            <w:r w:rsidR="000547AA">
              <w:rPr>
                <w:rFonts w:ascii="Arial" w:hAnsi="Arial" w:cs="Arial"/>
                <w:b/>
                <w:bCs/>
                <w:color w:val="000000"/>
                <w:sz w:val="17"/>
                <w:szCs w:val="17"/>
              </w:rPr>
              <w:t>827</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547AA" w:rsidP="002746E2">
            <w:pPr>
              <w:jc w:val="right"/>
              <w:rPr>
                <w:rFonts w:ascii="Arial" w:hAnsi="Arial" w:cs="Arial"/>
                <w:b/>
                <w:bCs/>
                <w:color w:val="000000"/>
                <w:sz w:val="17"/>
                <w:szCs w:val="17"/>
              </w:rPr>
            </w:pPr>
            <w:r>
              <w:rPr>
                <w:rFonts w:ascii="Arial" w:hAnsi="Arial" w:cs="Arial"/>
                <w:b/>
                <w:bCs/>
                <w:color w:val="000000"/>
                <w:sz w:val="17"/>
                <w:szCs w:val="17"/>
              </w:rPr>
              <w:t>11,582,7</w:t>
            </w:r>
            <w:r w:rsidR="007D476D">
              <w:rPr>
                <w:rFonts w:ascii="Arial" w:hAnsi="Arial" w:cs="Arial"/>
                <w:b/>
                <w:bCs/>
                <w:color w:val="000000"/>
                <w:sz w:val="17"/>
                <w:szCs w:val="17"/>
              </w:rPr>
              <w:t>9</w:t>
            </w:r>
            <w:r>
              <w:rPr>
                <w:rFonts w:ascii="Arial" w:hAnsi="Arial" w:cs="Arial"/>
                <w:b/>
                <w:bCs/>
                <w:color w:val="000000"/>
                <w:sz w:val="17"/>
                <w:szCs w:val="17"/>
              </w:rPr>
              <w:t>6</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547AA" w:rsidP="002746E2">
            <w:pPr>
              <w:jc w:val="right"/>
              <w:rPr>
                <w:rFonts w:ascii="Arial" w:hAnsi="Arial" w:cs="Arial"/>
                <w:b/>
                <w:bCs/>
                <w:color w:val="000000"/>
                <w:sz w:val="17"/>
                <w:szCs w:val="17"/>
              </w:rPr>
            </w:pPr>
            <w:r>
              <w:rPr>
                <w:rFonts w:ascii="Arial" w:hAnsi="Arial" w:cs="Arial"/>
                <w:b/>
                <w:bCs/>
                <w:color w:val="000000"/>
                <w:sz w:val="17"/>
                <w:szCs w:val="17"/>
              </w:rPr>
              <w:t>4,258,440</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547AA" w:rsidP="002746E2">
            <w:pPr>
              <w:jc w:val="right"/>
              <w:rPr>
                <w:rFonts w:ascii="Arial" w:hAnsi="Arial" w:cs="Arial"/>
                <w:b/>
                <w:bCs/>
                <w:color w:val="000000"/>
                <w:sz w:val="17"/>
                <w:szCs w:val="17"/>
              </w:rPr>
            </w:pPr>
            <w:r>
              <w:rPr>
                <w:rFonts w:ascii="Arial" w:hAnsi="Arial" w:cs="Arial"/>
                <w:b/>
                <w:bCs/>
                <w:color w:val="000000"/>
                <w:sz w:val="17"/>
                <w:szCs w:val="17"/>
              </w:rPr>
              <w:t>299,591</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11A83"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9868D0">
              <w:rPr>
                <w:rFonts w:ascii="Arial" w:hAnsi="Arial" w:cs="Arial"/>
                <w:b/>
                <w:bCs/>
                <w:noProof/>
                <w:color w:val="000000"/>
                <w:sz w:val="17"/>
                <w:szCs w:val="17"/>
              </w:rPr>
              <w:t xml:space="preserve">$   </w:t>
            </w:r>
            <w:r w:rsidR="007D476D">
              <w:rPr>
                <w:rFonts w:ascii="Arial" w:hAnsi="Arial" w:cs="Arial"/>
                <w:b/>
                <w:bCs/>
                <w:noProof/>
                <w:color w:val="000000"/>
                <w:sz w:val="17"/>
                <w:szCs w:val="17"/>
              </w:rPr>
              <w:t>14</w:t>
            </w:r>
            <w:r w:rsidR="000547AA">
              <w:rPr>
                <w:rFonts w:ascii="Arial" w:hAnsi="Arial" w:cs="Arial"/>
                <w:b/>
                <w:bCs/>
                <w:noProof/>
                <w:color w:val="000000"/>
                <w:sz w:val="17"/>
                <w:szCs w:val="17"/>
              </w:rPr>
              <w:t>4</w:t>
            </w:r>
            <w:r w:rsidR="007D476D">
              <w:rPr>
                <w:rFonts w:ascii="Arial" w:hAnsi="Arial" w:cs="Arial"/>
                <w:b/>
                <w:bCs/>
                <w:noProof/>
                <w:color w:val="000000"/>
                <w:sz w:val="17"/>
                <w:szCs w:val="17"/>
              </w:rPr>
              <w:t>,</w:t>
            </w:r>
            <w:r w:rsidR="000547AA">
              <w:rPr>
                <w:rFonts w:ascii="Arial" w:hAnsi="Arial" w:cs="Arial"/>
                <w:b/>
                <w:bCs/>
                <w:noProof/>
                <w:color w:val="000000"/>
                <w:sz w:val="17"/>
                <w:szCs w:val="17"/>
              </w:rPr>
              <w:t>512</w:t>
            </w:r>
            <w:r w:rsidR="007D476D">
              <w:rPr>
                <w:rFonts w:ascii="Arial" w:hAnsi="Arial" w:cs="Arial"/>
                <w:b/>
                <w:bCs/>
                <w:noProof/>
                <w:color w:val="000000"/>
                <w:sz w:val="17"/>
                <w:szCs w:val="17"/>
              </w:rPr>
              <w:t>,</w:t>
            </w:r>
            <w:r w:rsidRPr="002D70DA">
              <w:rPr>
                <w:rFonts w:ascii="Arial" w:hAnsi="Arial" w:cs="Arial"/>
                <w:b/>
                <w:bCs/>
                <w:color w:val="000000"/>
                <w:sz w:val="17"/>
                <w:szCs w:val="17"/>
              </w:rPr>
              <w:fldChar w:fldCharType="end"/>
            </w:r>
            <w:r w:rsidR="000547AA">
              <w:rPr>
                <w:rFonts w:ascii="Arial" w:hAnsi="Arial" w:cs="Arial"/>
                <w:b/>
                <w:bCs/>
                <w:color w:val="000000"/>
                <w:sz w:val="17"/>
                <w:szCs w:val="17"/>
              </w:rPr>
              <w:t>957</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7D476D">
      <w:pPr>
        <w:rPr>
          <w:rFonts w:ascii="Arial" w:eastAsia="Calibri" w:hAnsi="Arial" w:cs="Arial"/>
          <w:spacing w:val="-1"/>
          <w:sz w:val="17"/>
          <w:szCs w:val="17"/>
        </w:rPr>
      </w:pPr>
      <w:r>
        <w:rPr>
          <w:rFonts w:ascii="Arial" w:eastAsia="Calibri" w:hAnsi="Arial" w:cs="Arial"/>
          <w:spacing w:val="-1"/>
          <w:sz w:val="17"/>
          <w:szCs w:val="17"/>
        </w:rPr>
        <w:t>Notas a la conciliación de ingresos y egresos presupuestarios con respecto de las Cifras contables:</w:t>
      </w:r>
    </w:p>
    <w:p w:rsidR="007D476D" w:rsidRDefault="007D476D">
      <w:pPr>
        <w:rPr>
          <w:rFonts w:ascii="Arial" w:eastAsia="Calibri" w:hAnsi="Arial" w:cs="Arial"/>
          <w:spacing w:val="-1"/>
          <w:sz w:val="17"/>
          <w:szCs w:val="17"/>
        </w:rPr>
      </w:pPr>
    </w:p>
    <w:p w:rsidR="007D476D" w:rsidRDefault="007D476D" w:rsidP="00846F07">
      <w:pPr>
        <w:pStyle w:val="Prrafodelista"/>
        <w:numPr>
          <w:ilvl w:val="0"/>
          <w:numId w:val="23"/>
        </w:numPr>
        <w:rPr>
          <w:rFonts w:ascii="Arial" w:hAnsi="Arial" w:cs="Arial"/>
          <w:b/>
          <w:bCs/>
          <w:color w:val="000000"/>
          <w:sz w:val="17"/>
          <w:szCs w:val="17"/>
        </w:rPr>
      </w:pPr>
      <w:r w:rsidRPr="007D476D">
        <w:rPr>
          <w:rFonts w:ascii="Arial" w:hAnsi="Arial" w:cs="Arial"/>
          <w:b/>
          <w:bCs/>
          <w:color w:val="000000"/>
          <w:sz w:val="17"/>
          <w:szCs w:val="17"/>
        </w:rPr>
        <w:t>Conciliación entre los Ingresos Presupuestarios y Contables:</w:t>
      </w:r>
    </w:p>
    <w:p w:rsidR="0031101F" w:rsidRPr="007D476D" w:rsidRDefault="0031101F" w:rsidP="0031101F">
      <w:pPr>
        <w:pStyle w:val="Prrafodelista"/>
        <w:rPr>
          <w:rFonts w:ascii="Arial" w:hAnsi="Arial" w:cs="Arial"/>
          <w:b/>
          <w:bCs/>
          <w:color w:val="000000"/>
          <w:sz w:val="17"/>
          <w:szCs w:val="17"/>
        </w:rPr>
      </w:pPr>
    </w:p>
    <w:p w:rsidR="007D476D" w:rsidRDefault="007D476D" w:rsidP="008D67B2">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detallan presupuestalmente ingresos equivalentes a </w:t>
      </w:r>
      <w:r w:rsidR="0031101F">
        <w:rPr>
          <w:rFonts w:ascii="Arial" w:eastAsia="Calibri" w:hAnsi="Arial" w:cs="Arial"/>
          <w:spacing w:val="-1"/>
          <w:sz w:val="17"/>
          <w:szCs w:val="17"/>
        </w:rPr>
        <w:t>213,299,033</w:t>
      </w:r>
      <w:r w:rsidR="002D6CB1">
        <w:rPr>
          <w:rFonts w:ascii="Arial" w:eastAsia="Calibri" w:hAnsi="Arial" w:cs="Arial"/>
          <w:spacing w:val="-1"/>
          <w:sz w:val="17"/>
          <w:szCs w:val="17"/>
        </w:rPr>
        <w:t xml:space="preserve"> de los cuales </w:t>
      </w:r>
      <w:r w:rsidR="00CC3327">
        <w:rPr>
          <w:rFonts w:ascii="Arial" w:eastAsia="Calibri" w:hAnsi="Arial" w:cs="Arial"/>
          <w:spacing w:val="-1"/>
          <w:sz w:val="17"/>
          <w:szCs w:val="17"/>
        </w:rPr>
        <w:t xml:space="preserve">5,898,400 (Cinco </w:t>
      </w:r>
      <w:r w:rsidR="005220A5">
        <w:rPr>
          <w:rFonts w:ascii="Arial" w:eastAsia="Calibri" w:hAnsi="Arial" w:cs="Arial"/>
          <w:spacing w:val="-1"/>
          <w:sz w:val="17"/>
          <w:szCs w:val="17"/>
        </w:rPr>
        <w:t>millones ochocientos noventa y ocho mil</w:t>
      </w:r>
      <w:r w:rsidR="008D67B2">
        <w:rPr>
          <w:rFonts w:ascii="Arial" w:eastAsia="Calibri" w:hAnsi="Arial" w:cs="Arial"/>
          <w:spacing w:val="-1"/>
          <w:sz w:val="17"/>
          <w:szCs w:val="17"/>
        </w:rPr>
        <w:t xml:space="preserve"> cuatrocientos pesos, 00/100) correspondientes a la transferencia de Gobierno del Estado destinada para el </w:t>
      </w:r>
      <w:r w:rsidR="008D67B2" w:rsidRPr="008D67B2">
        <w:rPr>
          <w:rFonts w:ascii="Arial" w:eastAsia="Calibri" w:hAnsi="Arial" w:cs="Arial"/>
          <w:spacing w:val="-1"/>
          <w:sz w:val="17"/>
          <w:szCs w:val="17"/>
        </w:rPr>
        <w:t xml:space="preserve">apoyo </w:t>
      </w:r>
      <w:r w:rsidR="008D67B2">
        <w:rPr>
          <w:rFonts w:ascii="Arial" w:eastAsia="Calibri" w:hAnsi="Arial" w:cs="Arial"/>
          <w:spacing w:val="-1"/>
          <w:sz w:val="17"/>
          <w:szCs w:val="17"/>
        </w:rPr>
        <w:t>en</w:t>
      </w:r>
      <w:r w:rsidR="008D67B2" w:rsidRPr="008D67B2">
        <w:rPr>
          <w:rFonts w:ascii="Arial" w:eastAsia="Calibri" w:hAnsi="Arial" w:cs="Arial"/>
          <w:spacing w:val="-1"/>
          <w:sz w:val="17"/>
          <w:szCs w:val="17"/>
        </w:rPr>
        <w:t xml:space="preserve"> la promoción económica del estado de Querétaro, con la apertura de nuevas rutas aéreas con origen</w:t>
      </w:r>
      <w:r w:rsidR="008D67B2">
        <w:rPr>
          <w:rFonts w:ascii="Arial" w:eastAsia="Calibri" w:hAnsi="Arial" w:cs="Arial"/>
          <w:spacing w:val="-1"/>
          <w:sz w:val="17"/>
          <w:szCs w:val="17"/>
        </w:rPr>
        <w:t xml:space="preserve"> </w:t>
      </w:r>
      <w:r w:rsidR="008D67B2" w:rsidRPr="008D67B2">
        <w:rPr>
          <w:rFonts w:ascii="Arial" w:eastAsia="Calibri" w:hAnsi="Arial" w:cs="Arial"/>
          <w:spacing w:val="-1"/>
          <w:sz w:val="17"/>
          <w:szCs w:val="17"/>
        </w:rPr>
        <w:t>-</w:t>
      </w:r>
      <w:r w:rsidR="008D67B2">
        <w:rPr>
          <w:rFonts w:ascii="Arial" w:eastAsia="Calibri" w:hAnsi="Arial" w:cs="Arial"/>
          <w:spacing w:val="-1"/>
          <w:sz w:val="17"/>
          <w:szCs w:val="17"/>
        </w:rPr>
        <w:t xml:space="preserve"> </w:t>
      </w:r>
      <w:r w:rsidR="008D67B2" w:rsidRPr="008D67B2">
        <w:rPr>
          <w:rFonts w:ascii="Arial" w:eastAsia="Calibri" w:hAnsi="Arial" w:cs="Arial"/>
          <w:spacing w:val="-1"/>
          <w:sz w:val="17"/>
          <w:szCs w:val="17"/>
        </w:rPr>
        <w:t>destino en los aeropuertos de los Ángeles</w:t>
      </w:r>
      <w:r w:rsidR="008D67B2">
        <w:rPr>
          <w:rFonts w:ascii="Arial" w:eastAsia="Calibri" w:hAnsi="Arial" w:cs="Arial"/>
          <w:spacing w:val="-1"/>
          <w:sz w:val="17"/>
          <w:szCs w:val="17"/>
        </w:rPr>
        <w:t xml:space="preserve"> y C</w:t>
      </w:r>
      <w:r w:rsidR="008D67B2" w:rsidRPr="008D67B2">
        <w:rPr>
          <w:rFonts w:ascii="Arial" w:eastAsia="Calibri" w:hAnsi="Arial" w:cs="Arial"/>
          <w:spacing w:val="-1"/>
          <w:sz w:val="17"/>
          <w:szCs w:val="17"/>
        </w:rPr>
        <w:t>hicago</w:t>
      </w:r>
      <w:r w:rsidR="008D67B2">
        <w:rPr>
          <w:rFonts w:ascii="Arial" w:eastAsia="Calibri" w:hAnsi="Arial" w:cs="Arial"/>
          <w:spacing w:val="-1"/>
          <w:sz w:val="17"/>
          <w:szCs w:val="17"/>
        </w:rPr>
        <w:t xml:space="preserve">. </w:t>
      </w:r>
    </w:p>
    <w:p w:rsidR="008D67B2" w:rsidRDefault="008D67B2" w:rsidP="008D67B2">
      <w:pPr>
        <w:spacing w:before="80" w:line="250" w:lineRule="exact"/>
        <w:ind w:left="709"/>
        <w:jc w:val="both"/>
        <w:rPr>
          <w:rFonts w:ascii="Arial" w:eastAsia="Calibri" w:hAnsi="Arial" w:cs="Arial"/>
          <w:spacing w:val="-1"/>
          <w:sz w:val="17"/>
          <w:szCs w:val="17"/>
        </w:rPr>
      </w:pPr>
    </w:p>
    <w:p w:rsidR="008D67B2" w:rsidRDefault="008D67B2" w:rsidP="00846F07">
      <w:pPr>
        <w:pStyle w:val="Prrafodelista"/>
        <w:numPr>
          <w:ilvl w:val="0"/>
          <w:numId w:val="23"/>
        </w:numPr>
        <w:spacing w:before="80" w:line="250" w:lineRule="exact"/>
        <w:jc w:val="both"/>
        <w:rPr>
          <w:rFonts w:ascii="Arial" w:eastAsia="Calibri" w:hAnsi="Arial" w:cs="Arial"/>
          <w:b/>
          <w:spacing w:val="-1"/>
          <w:sz w:val="17"/>
          <w:szCs w:val="17"/>
        </w:rPr>
      </w:pPr>
      <w:r w:rsidRPr="008D67B2">
        <w:rPr>
          <w:rFonts w:ascii="Arial" w:eastAsia="Calibri" w:hAnsi="Arial" w:cs="Arial"/>
          <w:b/>
          <w:spacing w:val="-1"/>
          <w:sz w:val="17"/>
          <w:szCs w:val="17"/>
        </w:rPr>
        <w:t>Conciliación entre los Egresos Presupuestarios y los Gastos Contables.</w:t>
      </w:r>
    </w:p>
    <w:p w:rsidR="008D67B2" w:rsidRDefault="008D67B2" w:rsidP="008D67B2">
      <w:pPr>
        <w:spacing w:before="80" w:line="250" w:lineRule="exact"/>
        <w:ind w:left="709"/>
        <w:jc w:val="both"/>
        <w:rPr>
          <w:rFonts w:ascii="Arial" w:eastAsia="Calibri" w:hAnsi="Arial" w:cs="Arial"/>
          <w:spacing w:val="-1"/>
          <w:sz w:val="17"/>
          <w:szCs w:val="17"/>
        </w:rPr>
      </w:pPr>
      <w:r w:rsidRPr="003E7AA4">
        <w:rPr>
          <w:rFonts w:ascii="Arial" w:eastAsia="Calibri" w:hAnsi="Arial" w:cs="Arial"/>
          <w:spacing w:val="-1"/>
          <w:sz w:val="17"/>
          <w:szCs w:val="17"/>
        </w:rPr>
        <w:t xml:space="preserve">En la primera parte de la conciliación se detallan todas aquellas erogaciones </w:t>
      </w:r>
      <w:r w:rsidR="003E7AA4" w:rsidRPr="003E7AA4">
        <w:rPr>
          <w:rFonts w:ascii="Arial" w:eastAsia="Calibri" w:hAnsi="Arial" w:cs="Arial"/>
          <w:spacing w:val="-1"/>
          <w:sz w:val="17"/>
          <w:szCs w:val="17"/>
        </w:rPr>
        <w:t>correspondientes</w:t>
      </w:r>
      <w:r w:rsidRPr="003E7AA4">
        <w:rPr>
          <w:rFonts w:ascii="Arial" w:eastAsia="Calibri" w:hAnsi="Arial" w:cs="Arial"/>
          <w:spacing w:val="-1"/>
          <w:sz w:val="17"/>
          <w:szCs w:val="17"/>
        </w:rPr>
        <w:t xml:space="preserve"> a los rubros de la Inversión, la adquisición de Activos Fijos y el pago por concepto de seguros, mismos que forman parte </w:t>
      </w:r>
      <w:r w:rsidR="003E7AA4" w:rsidRPr="003E7AA4">
        <w:rPr>
          <w:rFonts w:ascii="Arial" w:eastAsia="Calibri" w:hAnsi="Arial" w:cs="Arial"/>
          <w:spacing w:val="-1"/>
          <w:sz w:val="17"/>
          <w:szCs w:val="17"/>
        </w:rPr>
        <w:t>de un recurso presupuestal efectivamente pagado en el ejercicio 2017 pero no así formando parte del gasto contable, derivado de las tasas de depreciación y amortización a los que son sujetos con base a la vida útil de cada bien.</w:t>
      </w:r>
    </w:p>
    <w:p w:rsidR="003E7AA4" w:rsidRDefault="003E7AA4" w:rsidP="008D67B2">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Para la segunda parte de la conciliación se detallan solo aquellas partidas contables que no tienen efecto presupuestario, tal es el caso de las provisiones derivadas del pasivo laboral obligado a reconocer el Aeropuerto en sus estados financieros bajo la Norma de Información Financiera D-3.</w:t>
      </w:r>
    </w:p>
    <w:p w:rsidR="003E7AA4" w:rsidRDefault="003E7AA4" w:rsidP="008D67B2">
      <w:pPr>
        <w:spacing w:before="80" w:line="250" w:lineRule="exact"/>
        <w:ind w:left="709"/>
        <w:jc w:val="both"/>
        <w:rPr>
          <w:rFonts w:ascii="Arial" w:eastAsia="Calibri" w:hAnsi="Arial" w:cs="Arial"/>
          <w:spacing w:val="-1"/>
          <w:sz w:val="17"/>
          <w:szCs w:val="17"/>
        </w:rPr>
      </w:pPr>
    </w:p>
    <w:p w:rsidR="003E7AA4" w:rsidRPr="003E7AA4" w:rsidRDefault="003E7AA4" w:rsidP="00644E1F">
      <w:pPr>
        <w:spacing w:before="80" w:line="250" w:lineRule="exact"/>
        <w:jc w:val="both"/>
        <w:rPr>
          <w:rFonts w:ascii="Arial" w:eastAsia="Calibri" w:hAnsi="Arial" w:cs="Arial"/>
          <w:spacing w:val="-1"/>
          <w:sz w:val="17"/>
          <w:szCs w:val="17"/>
        </w:rPr>
      </w:pPr>
    </w:p>
    <w:p w:rsidR="0092346E" w:rsidRDefault="0092346E" w:rsidP="00846F07">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B94FF7" w:rsidRPr="006C52B4" w:rsidRDefault="006C52B4" w:rsidP="006C52B4">
      <w:pPr>
        <w:pStyle w:val="Prrafodelista"/>
        <w:numPr>
          <w:ilvl w:val="0"/>
          <w:numId w:val="32"/>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w:t>
      </w:r>
      <w:bookmarkStart w:id="6" w:name="_GoBack"/>
      <w:bookmarkEnd w:id="6"/>
      <w:r w:rsidRPr="002D70DA">
        <w:rPr>
          <w:rFonts w:ascii="Arial" w:hAnsi="Arial" w:cs="Arial"/>
          <w:b/>
          <w:sz w:val="17"/>
          <w:szCs w:val="17"/>
        </w:rPr>
        <w:t>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B4F9E">
            <w:pPr>
              <w:jc w:val="center"/>
              <w:rPr>
                <w:rFonts w:ascii="Calibri" w:hAnsi="Calibri"/>
                <w:b/>
                <w:bCs/>
                <w:color w:val="000000"/>
                <w:sz w:val="18"/>
                <w:szCs w:val="18"/>
              </w:rPr>
            </w:pPr>
            <w:r>
              <w:rPr>
                <w:rFonts w:ascii="Calibri" w:hAnsi="Calibri"/>
                <w:b/>
                <w:bCs/>
                <w:color w:val="000000"/>
                <w:sz w:val="18"/>
                <w:szCs w:val="18"/>
              </w:rPr>
              <w:t>N/A</w: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B94FF7">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B94FF7">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FB4F9E">
            <w:pPr>
              <w:jc w:val="center"/>
              <w:rPr>
                <w:rFonts w:ascii="Calibri" w:hAnsi="Calibri"/>
                <w:b/>
                <w:bCs/>
                <w:color w:val="000000"/>
                <w:sz w:val="18"/>
                <w:szCs w:val="18"/>
              </w:rPr>
            </w:pPr>
            <w:r>
              <w:rPr>
                <w:rFonts w:ascii="Calibri" w:hAnsi="Calibri"/>
                <w:b/>
                <w:bCs/>
                <w:color w:val="000000"/>
                <w:sz w:val="18"/>
                <w:szCs w:val="18"/>
              </w:rPr>
              <w:t>N/A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B94FF7">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FB4F9E">
              <w:rPr>
                <w:rFonts w:ascii="Calibri" w:hAnsi="Calibri"/>
                <w:b/>
                <w:bCs/>
                <w:color w:val="000000"/>
                <w:sz w:val="18"/>
                <w:szCs w:val="18"/>
              </w:rPr>
              <w:t>N/A</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B94FF7">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754A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754ACC" w:rsidRDefault="00F007CA" w:rsidP="00754ACC">
            <w:pPr>
              <w:jc w:val="right"/>
              <w:rPr>
                <w:rFonts w:ascii="Calibri" w:hAnsi="Calibri"/>
                <w:b/>
                <w:bCs/>
                <w:color w:val="000000"/>
                <w:sz w:val="18"/>
                <w:szCs w:val="18"/>
              </w:rPr>
            </w:pPr>
            <w:r>
              <w:rPr>
                <w:rFonts w:ascii="Calibri" w:hAnsi="Calibri"/>
                <w:b/>
                <w:bCs/>
                <w:color w:val="000000"/>
                <w:sz w:val="18"/>
                <w:szCs w:val="18"/>
              </w:rPr>
              <w:t>$ 188,431,642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r>
              <w:rPr>
                <w:rFonts w:ascii="Calibri" w:hAnsi="Calibri"/>
                <w:b/>
                <w:bCs/>
                <w:color w:val="000000"/>
                <w:sz w:val="18"/>
                <w:szCs w:val="18"/>
              </w:rPr>
              <w:t> </w:t>
            </w:r>
          </w:p>
        </w:tc>
      </w:tr>
      <w:tr w:rsidR="00754A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754ACC" w:rsidRDefault="00F007CA" w:rsidP="00754ACC">
            <w:pPr>
              <w:jc w:val="right"/>
              <w:rPr>
                <w:rFonts w:ascii="Calibri" w:hAnsi="Calibri"/>
                <w:b/>
                <w:bCs/>
                <w:color w:val="000000"/>
                <w:sz w:val="18"/>
                <w:szCs w:val="18"/>
              </w:rPr>
            </w:pPr>
            <w:r>
              <w:rPr>
                <w:rFonts w:ascii="Calibri" w:hAnsi="Calibri"/>
                <w:b/>
                <w:bCs/>
                <w:color w:val="000000"/>
                <w:sz w:val="18"/>
                <w:szCs w:val="18"/>
              </w:rPr>
              <w:t>$ 51,186,605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p>
        </w:tc>
      </w:tr>
      <w:tr w:rsidR="00754A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754ACC" w:rsidRDefault="00F007CA" w:rsidP="00754ACC">
            <w:pPr>
              <w:jc w:val="right"/>
              <w:rPr>
                <w:rFonts w:ascii="Calibri" w:hAnsi="Calibri"/>
                <w:b/>
                <w:bCs/>
                <w:color w:val="000000"/>
                <w:sz w:val="18"/>
                <w:szCs w:val="18"/>
              </w:rPr>
            </w:pPr>
            <w:r>
              <w:rPr>
                <w:rFonts w:ascii="Calibri" w:hAnsi="Calibri"/>
                <w:b/>
                <w:bCs/>
                <w:color w:val="000000"/>
                <w:sz w:val="18"/>
                <w:szCs w:val="18"/>
              </w:rPr>
              <w:t>$ 76,053,996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C1343F" w:rsidP="00F007CA">
            <w:pPr>
              <w:rPr>
                <w:rFonts w:ascii="Calibri" w:hAnsi="Calibri"/>
                <w:b/>
                <w:bCs/>
                <w:color w:val="000000"/>
                <w:sz w:val="18"/>
                <w:szCs w:val="18"/>
              </w:rPr>
            </w:pPr>
            <w:r>
              <w:rPr>
                <w:rFonts w:ascii="Calibri" w:hAnsi="Calibri"/>
                <w:b/>
                <w:bCs/>
                <w:color w:val="000000"/>
                <w:sz w:val="18"/>
                <w:szCs w:val="18"/>
              </w:rPr>
              <w:t>*Nota 1 </w:t>
            </w:r>
            <w:r w:rsidR="00754ACC">
              <w:rPr>
                <w:rFonts w:ascii="Calibri" w:hAnsi="Calibri"/>
                <w:b/>
                <w:bCs/>
                <w:color w:val="000000"/>
                <w:sz w:val="18"/>
                <w:szCs w:val="18"/>
              </w:rPr>
              <w:t> </w:t>
            </w:r>
          </w:p>
        </w:tc>
      </w:tr>
      <w:tr w:rsidR="00754A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754ACC" w:rsidRDefault="00754ACC" w:rsidP="00754ACC">
            <w:pPr>
              <w:jc w:val="right"/>
              <w:rPr>
                <w:rFonts w:ascii="Calibri" w:hAnsi="Calibri"/>
                <w:b/>
                <w:bCs/>
                <w:color w:val="000000"/>
                <w:sz w:val="18"/>
                <w:szCs w:val="18"/>
              </w:rPr>
            </w:pPr>
            <w:r>
              <w:rPr>
                <w:rFonts w:ascii="Calibri" w:hAnsi="Calibri"/>
                <w:b/>
                <w:bCs/>
                <w:color w:val="000000"/>
                <w:sz w:val="18"/>
                <w:szCs w:val="18"/>
              </w:rPr>
              <w:t>$</w:t>
            </w:r>
            <w:r w:rsidR="00F007CA">
              <w:rPr>
                <w:rFonts w:ascii="Calibri" w:hAnsi="Calibri"/>
                <w:b/>
                <w:bCs/>
                <w:color w:val="000000"/>
                <w:sz w:val="18"/>
                <w:szCs w:val="18"/>
              </w:rPr>
              <w:t xml:space="preserve"> </w:t>
            </w:r>
            <w:r w:rsidR="00C1343F">
              <w:rPr>
                <w:rFonts w:ascii="Calibri" w:hAnsi="Calibri"/>
                <w:b/>
                <w:bCs/>
                <w:color w:val="000000"/>
                <w:sz w:val="18"/>
                <w:szCs w:val="18"/>
              </w:rPr>
              <w:t>37</w:t>
            </w:r>
            <w:r>
              <w:rPr>
                <w:rFonts w:ascii="Calibri" w:hAnsi="Calibri"/>
                <w:b/>
                <w:bCs/>
                <w:color w:val="000000"/>
                <w:sz w:val="18"/>
                <w:szCs w:val="18"/>
              </w:rPr>
              <w:t>,</w:t>
            </w:r>
            <w:r w:rsidR="00C1343F">
              <w:rPr>
                <w:rFonts w:ascii="Calibri" w:hAnsi="Calibri"/>
                <w:b/>
                <w:bCs/>
                <w:color w:val="000000"/>
                <w:sz w:val="18"/>
                <w:szCs w:val="18"/>
              </w:rPr>
              <w:t>498</w:t>
            </w:r>
            <w:r>
              <w:rPr>
                <w:rFonts w:ascii="Calibri" w:hAnsi="Calibri"/>
                <w:b/>
                <w:bCs/>
                <w:color w:val="000000"/>
                <w:sz w:val="18"/>
                <w:szCs w:val="18"/>
              </w:rPr>
              <w:t>,</w:t>
            </w:r>
            <w:r w:rsidR="00C1343F">
              <w:rPr>
                <w:rFonts w:ascii="Calibri" w:hAnsi="Calibri"/>
                <w:b/>
                <w:bCs/>
                <w:color w:val="000000"/>
                <w:sz w:val="18"/>
                <w:szCs w:val="18"/>
              </w:rPr>
              <w:t>351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F007CA">
            <w:pPr>
              <w:rPr>
                <w:rFonts w:ascii="Calibri" w:hAnsi="Calibri"/>
                <w:b/>
                <w:bCs/>
                <w:color w:val="000000"/>
                <w:sz w:val="18"/>
                <w:szCs w:val="18"/>
              </w:rPr>
            </w:pPr>
          </w:p>
        </w:tc>
      </w:tr>
      <w:tr w:rsidR="00754AC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754ACC" w:rsidRDefault="00754ACC" w:rsidP="00754ACC">
            <w:pPr>
              <w:jc w:val="right"/>
              <w:rPr>
                <w:rFonts w:ascii="Calibri" w:hAnsi="Calibri"/>
                <w:b/>
                <w:bCs/>
                <w:color w:val="000000"/>
                <w:sz w:val="18"/>
                <w:szCs w:val="18"/>
              </w:rPr>
            </w:pPr>
            <w:r>
              <w:rPr>
                <w:rFonts w:ascii="Calibri" w:hAnsi="Calibri"/>
                <w:b/>
                <w:bCs/>
                <w:color w:val="000000"/>
                <w:sz w:val="18"/>
                <w:szCs w:val="18"/>
              </w:rPr>
              <w:t>$</w:t>
            </w:r>
            <w:r w:rsidR="00F007CA">
              <w:rPr>
                <w:rFonts w:ascii="Calibri" w:hAnsi="Calibri"/>
                <w:b/>
                <w:bCs/>
                <w:color w:val="000000"/>
                <w:sz w:val="18"/>
                <w:szCs w:val="18"/>
              </w:rPr>
              <w:t xml:space="preserve"> </w:t>
            </w:r>
            <w:r w:rsidR="00C1343F">
              <w:rPr>
                <w:rFonts w:ascii="Calibri" w:hAnsi="Calibri"/>
                <w:b/>
                <w:bCs/>
                <w:color w:val="000000"/>
                <w:sz w:val="18"/>
                <w:szCs w:val="18"/>
              </w:rPr>
              <w:t>175,800,682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754ACC" w:rsidRDefault="00754ACC" w:rsidP="00754ACC">
            <w:pPr>
              <w:jc w:val="right"/>
              <w:rPr>
                <w:rFonts w:ascii="Calibri" w:hAnsi="Calibri"/>
                <w:b/>
                <w:bCs/>
                <w:color w:val="000000"/>
                <w:sz w:val="18"/>
                <w:szCs w:val="18"/>
              </w:rPr>
            </w:pPr>
            <w:r>
              <w:rPr>
                <w:rFonts w:ascii="Calibri" w:hAnsi="Calibri"/>
                <w:b/>
                <w:bCs/>
                <w:color w:val="000000"/>
                <w:sz w:val="18"/>
                <w:szCs w:val="18"/>
              </w:rPr>
              <w:t>$</w:t>
            </w:r>
            <w:r w:rsidR="00F007CA">
              <w:rPr>
                <w:rFonts w:ascii="Calibri" w:hAnsi="Calibri"/>
                <w:b/>
                <w:bCs/>
                <w:color w:val="000000"/>
                <w:sz w:val="18"/>
                <w:szCs w:val="18"/>
              </w:rPr>
              <w:t xml:space="preserve"> 188,431,642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r>
              <w:rPr>
                <w:rFonts w:ascii="Calibri" w:hAnsi="Calibri"/>
                <w:b/>
                <w:bCs/>
                <w:color w:val="000000"/>
                <w:sz w:val="18"/>
                <w:szCs w:val="18"/>
              </w:rPr>
              <w:t> </w:t>
            </w: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754ACC" w:rsidRDefault="00C20D74" w:rsidP="00754ACC">
            <w:pPr>
              <w:jc w:val="right"/>
              <w:rPr>
                <w:rFonts w:ascii="Calibri" w:hAnsi="Calibri"/>
                <w:b/>
                <w:bCs/>
                <w:color w:val="000000"/>
                <w:sz w:val="18"/>
                <w:szCs w:val="18"/>
              </w:rPr>
            </w:pPr>
            <w:r>
              <w:rPr>
                <w:rFonts w:ascii="Calibri" w:hAnsi="Calibri"/>
                <w:b/>
                <w:bCs/>
                <w:color w:val="000000"/>
                <w:sz w:val="18"/>
                <w:szCs w:val="18"/>
              </w:rPr>
              <w:t>$ 33,703,175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r>
              <w:rPr>
                <w:rFonts w:ascii="Calibri" w:hAnsi="Calibri"/>
                <w:b/>
                <w:bCs/>
                <w:color w:val="000000"/>
                <w:sz w:val="18"/>
                <w:szCs w:val="18"/>
              </w:rPr>
              <w:t> </w:t>
            </w: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754ACC" w:rsidRDefault="00754ACC" w:rsidP="00754ACC">
            <w:pPr>
              <w:jc w:val="right"/>
              <w:rPr>
                <w:rFonts w:ascii="Calibri" w:hAnsi="Calibri"/>
                <w:b/>
                <w:bCs/>
                <w:color w:val="000000"/>
                <w:sz w:val="18"/>
                <w:szCs w:val="18"/>
              </w:rPr>
            </w:pPr>
            <w:r>
              <w:rPr>
                <w:rFonts w:ascii="Calibri" w:hAnsi="Calibri"/>
                <w:b/>
                <w:bCs/>
                <w:color w:val="000000"/>
                <w:sz w:val="18"/>
                <w:szCs w:val="18"/>
              </w:rPr>
              <w:t>$</w:t>
            </w:r>
            <w:r w:rsidR="00C20D74">
              <w:rPr>
                <w:rFonts w:ascii="Calibri" w:hAnsi="Calibri"/>
                <w:b/>
                <w:bCs/>
                <w:color w:val="000000"/>
                <w:sz w:val="18"/>
                <w:szCs w:val="18"/>
              </w:rPr>
              <w:t xml:space="preserve"> 76,053,996</w:t>
            </w:r>
            <w:r>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C20D74" w:rsidP="00C20D74">
            <w:pPr>
              <w:rPr>
                <w:rFonts w:ascii="Calibri" w:hAnsi="Calibri"/>
                <w:b/>
                <w:bCs/>
                <w:color w:val="000000"/>
                <w:sz w:val="18"/>
                <w:szCs w:val="18"/>
              </w:rPr>
            </w:pPr>
            <w:r>
              <w:rPr>
                <w:rFonts w:ascii="Calibri" w:hAnsi="Calibri"/>
                <w:b/>
                <w:bCs/>
                <w:color w:val="000000"/>
                <w:sz w:val="18"/>
                <w:szCs w:val="18"/>
              </w:rPr>
              <w:t>*Nota 2</w:t>
            </w:r>
            <w:r w:rsidR="00754ACC">
              <w:rPr>
                <w:rFonts w:ascii="Calibri" w:hAnsi="Calibri"/>
                <w:b/>
                <w:bCs/>
                <w:color w:val="000000"/>
                <w:sz w:val="18"/>
                <w:szCs w:val="18"/>
              </w:rPr>
              <w:t> </w:t>
            </w: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54ACC" w:rsidRDefault="00754ACC" w:rsidP="00754ACC">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754ACC" w:rsidRDefault="00C20D74" w:rsidP="00754ACC">
            <w:pPr>
              <w:jc w:val="right"/>
              <w:rPr>
                <w:rFonts w:ascii="Calibri" w:hAnsi="Calibri"/>
                <w:b/>
                <w:bCs/>
                <w:color w:val="000000"/>
                <w:sz w:val="18"/>
                <w:szCs w:val="18"/>
              </w:rPr>
            </w:pPr>
            <w:r>
              <w:rPr>
                <w:rFonts w:ascii="Calibri" w:hAnsi="Calibri"/>
                <w:b/>
                <w:bCs/>
                <w:color w:val="000000"/>
                <w:sz w:val="18"/>
                <w:szCs w:val="18"/>
              </w:rPr>
              <w:t>$ 25,181,490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54ACC" w:rsidRDefault="00754ACC" w:rsidP="00754ACC">
            <w:pPr>
              <w:jc w:val="center"/>
              <w:rPr>
                <w:rFonts w:ascii="Calibri" w:hAnsi="Calibri"/>
                <w:b/>
                <w:bCs/>
                <w:color w:val="000000"/>
                <w:sz w:val="18"/>
                <w:szCs w:val="18"/>
              </w:rPr>
            </w:pP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54ACC" w:rsidRDefault="00754ACC" w:rsidP="00754ACC">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754ACC" w:rsidRDefault="00C20D74" w:rsidP="00754ACC">
            <w:pPr>
              <w:jc w:val="right"/>
              <w:rPr>
                <w:rFonts w:ascii="Calibri" w:hAnsi="Calibri"/>
                <w:b/>
                <w:bCs/>
                <w:color w:val="000000"/>
                <w:sz w:val="18"/>
                <w:szCs w:val="18"/>
              </w:rPr>
            </w:pPr>
            <w:r>
              <w:rPr>
                <w:rFonts w:ascii="Calibri" w:hAnsi="Calibri"/>
                <w:b/>
                <w:bCs/>
                <w:color w:val="000000"/>
                <w:sz w:val="18"/>
                <w:szCs w:val="18"/>
              </w:rPr>
              <w:t>$ 2,177,980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54ACC" w:rsidRDefault="00754ACC" w:rsidP="00754ACC">
            <w:pPr>
              <w:jc w:val="center"/>
              <w:rPr>
                <w:rFonts w:ascii="Calibri" w:hAnsi="Calibri"/>
                <w:b/>
                <w:bCs/>
                <w:color w:val="000000"/>
                <w:sz w:val="18"/>
                <w:szCs w:val="18"/>
              </w:rPr>
            </w:pP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754ACC" w:rsidRDefault="00754ACC" w:rsidP="00754ACC">
            <w:pPr>
              <w:jc w:val="right"/>
              <w:rPr>
                <w:rFonts w:ascii="Calibri" w:hAnsi="Calibri"/>
                <w:b/>
                <w:bCs/>
                <w:color w:val="000000"/>
                <w:sz w:val="18"/>
                <w:szCs w:val="18"/>
              </w:rPr>
            </w:pPr>
            <w:r>
              <w:rPr>
                <w:rFonts w:ascii="Calibri" w:hAnsi="Calibri"/>
                <w:b/>
                <w:bCs/>
                <w:color w:val="000000"/>
                <w:sz w:val="18"/>
                <w:szCs w:val="18"/>
              </w:rPr>
              <w:t>$</w:t>
            </w:r>
            <w:r w:rsidR="00C20D74">
              <w:rPr>
                <w:rFonts w:ascii="Calibri" w:hAnsi="Calibri"/>
                <w:b/>
                <w:bCs/>
                <w:color w:val="000000"/>
                <w:sz w:val="18"/>
                <w:szCs w:val="18"/>
              </w:rPr>
              <w:t xml:space="preserve"> 130,203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r>
              <w:rPr>
                <w:rFonts w:ascii="Calibri" w:hAnsi="Calibri"/>
                <w:b/>
                <w:bCs/>
                <w:color w:val="000000"/>
                <w:sz w:val="18"/>
                <w:szCs w:val="18"/>
              </w:rPr>
              <w:t> </w:t>
            </w:r>
          </w:p>
        </w:tc>
      </w:tr>
      <w:tr w:rsidR="00754AC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54ACC" w:rsidRDefault="00754ACC" w:rsidP="00754ACC">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754ACC" w:rsidRDefault="00754ACC" w:rsidP="00754ACC">
            <w:pPr>
              <w:jc w:val="right"/>
              <w:rPr>
                <w:rFonts w:ascii="Calibri" w:hAnsi="Calibri"/>
                <w:b/>
                <w:bCs/>
                <w:color w:val="000000"/>
                <w:sz w:val="18"/>
                <w:szCs w:val="18"/>
              </w:rPr>
            </w:pPr>
            <w:r>
              <w:rPr>
                <w:rFonts w:ascii="Calibri" w:hAnsi="Calibri"/>
                <w:b/>
                <w:bCs/>
                <w:color w:val="000000"/>
                <w:sz w:val="18"/>
                <w:szCs w:val="18"/>
              </w:rPr>
              <w:t>$</w:t>
            </w:r>
            <w:r w:rsidR="00C20D74">
              <w:rPr>
                <w:rFonts w:ascii="Calibri" w:hAnsi="Calibri"/>
                <w:b/>
                <w:bCs/>
                <w:color w:val="000000"/>
                <w:sz w:val="18"/>
                <w:szCs w:val="18"/>
              </w:rPr>
              <w:t xml:space="preserve"> 203,292,790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4ACC" w:rsidRDefault="00754ACC" w:rsidP="00754ACC">
            <w:pPr>
              <w:jc w:val="center"/>
              <w:rPr>
                <w:rFonts w:ascii="Calibri" w:hAnsi="Calibri"/>
                <w:b/>
                <w:bCs/>
                <w:color w:val="000000"/>
                <w:sz w:val="18"/>
                <w:szCs w:val="18"/>
              </w:rPr>
            </w:pPr>
            <w:r>
              <w:rPr>
                <w:rFonts w:ascii="Calibri" w:hAnsi="Calibri"/>
                <w:b/>
                <w:bCs/>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C20D74" w:rsidRDefault="00C20D74" w:rsidP="00C20D74">
      <w:pPr>
        <w:spacing w:line="360" w:lineRule="auto"/>
        <w:jc w:val="both"/>
        <w:rPr>
          <w:rFonts w:ascii="Arial" w:eastAsia="Calibri" w:hAnsi="Arial" w:cs="Arial"/>
          <w:i/>
          <w:spacing w:val="-1"/>
          <w:sz w:val="17"/>
          <w:szCs w:val="17"/>
        </w:rPr>
      </w:pPr>
      <w:r>
        <w:rPr>
          <w:rFonts w:ascii="Arial" w:eastAsia="Calibri" w:hAnsi="Arial" w:cs="Arial"/>
          <w:i/>
          <w:spacing w:val="-1"/>
          <w:sz w:val="17"/>
          <w:szCs w:val="17"/>
        </w:rPr>
        <w:t xml:space="preserve">Nota </w:t>
      </w:r>
      <w:r w:rsidRPr="002E2836">
        <w:rPr>
          <w:rFonts w:ascii="Arial" w:eastAsia="Calibri" w:hAnsi="Arial" w:cs="Arial"/>
          <w:i/>
          <w:spacing w:val="-1"/>
          <w:sz w:val="17"/>
          <w:szCs w:val="17"/>
        </w:rPr>
        <w:t>1</w:t>
      </w:r>
      <w:r>
        <w:rPr>
          <w:rFonts w:ascii="Arial" w:eastAsia="Calibri" w:hAnsi="Arial" w:cs="Arial"/>
          <w:i/>
          <w:spacing w:val="-1"/>
          <w:sz w:val="17"/>
          <w:szCs w:val="17"/>
        </w:rPr>
        <w:t xml:space="preserve"> - </w:t>
      </w:r>
      <w:r w:rsidRPr="002E2836">
        <w:rPr>
          <w:rFonts w:ascii="Arial" w:eastAsia="Calibri" w:hAnsi="Arial" w:cs="Arial"/>
          <w:i/>
          <w:spacing w:val="-1"/>
          <w:sz w:val="17"/>
          <w:szCs w:val="17"/>
        </w:rPr>
        <w:t xml:space="preserve"> </w:t>
      </w:r>
      <w:r>
        <w:rPr>
          <w:rFonts w:ascii="Arial" w:eastAsia="Calibri" w:hAnsi="Arial" w:cs="Arial"/>
          <w:i/>
          <w:spacing w:val="-1"/>
          <w:sz w:val="17"/>
          <w:szCs w:val="17"/>
        </w:rPr>
        <w:t>Existe un Superávit F</w:t>
      </w:r>
      <w:r w:rsidRPr="002E2836">
        <w:rPr>
          <w:rFonts w:ascii="Arial" w:eastAsia="Calibri" w:hAnsi="Arial" w:cs="Arial"/>
          <w:i/>
          <w:spacing w:val="-1"/>
          <w:sz w:val="17"/>
          <w:szCs w:val="17"/>
        </w:rPr>
        <w:t>inanciero registrado en la cuenta 9.1 Superávit Financiero (Del Ejercicio 201</w:t>
      </w:r>
      <w:r>
        <w:rPr>
          <w:rFonts w:ascii="Arial" w:eastAsia="Calibri" w:hAnsi="Arial" w:cs="Arial"/>
          <w:i/>
          <w:spacing w:val="-1"/>
          <w:sz w:val="17"/>
          <w:szCs w:val="17"/>
        </w:rPr>
        <w:t>6) por un importe de $61,968,432.02</w:t>
      </w:r>
      <w:r w:rsidRPr="002E2836">
        <w:rPr>
          <w:rFonts w:ascii="Arial" w:eastAsia="Calibri" w:hAnsi="Arial" w:cs="Arial"/>
          <w:i/>
          <w:spacing w:val="-1"/>
          <w:sz w:val="17"/>
          <w:szCs w:val="17"/>
        </w:rPr>
        <w:t xml:space="preserve"> con lo que adicionado a la cuenta 8.1.3 Modificaciones a la Ley de Ingresos Estimada, da un total de $6</w:t>
      </w:r>
      <w:r>
        <w:rPr>
          <w:rFonts w:ascii="Arial" w:eastAsia="Calibri" w:hAnsi="Arial" w:cs="Arial"/>
          <w:i/>
          <w:spacing w:val="-1"/>
          <w:sz w:val="17"/>
          <w:szCs w:val="17"/>
        </w:rPr>
        <w:t>1</w:t>
      </w:r>
      <w:r w:rsidRPr="002E2836">
        <w:rPr>
          <w:rFonts w:ascii="Arial" w:eastAsia="Calibri" w:hAnsi="Arial" w:cs="Arial"/>
          <w:i/>
          <w:spacing w:val="-1"/>
          <w:sz w:val="17"/>
          <w:szCs w:val="17"/>
        </w:rPr>
        <w:t>,</w:t>
      </w:r>
      <w:r>
        <w:rPr>
          <w:rFonts w:ascii="Arial" w:eastAsia="Calibri" w:hAnsi="Arial" w:cs="Arial"/>
          <w:i/>
          <w:spacing w:val="-1"/>
          <w:sz w:val="17"/>
          <w:szCs w:val="17"/>
        </w:rPr>
        <w:t>968,432.02</w:t>
      </w:r>
      <w:r w:rsidRPr="002E2836">
        <w:rPr>
          <w:rFonts w:ascii="Arial" w:eastAsia="Calibri" w:hAnsi="Arial" w:cs="Arial"/>
          <w:i/>
          <w:spacing w:val="-1"/>
          <w:sz w:val="17"/>
          <w:szCs w:val="17"/>
        </w:rPr>
        <w:t xml:space="preserve"> que es lo mismo a lo registrado en el saldo de la cuenta 8.2.3 Modificaciones al Presupuesto de Egresos Aprobado por $6</w:t>
      </w:r>
      <w:r>
        <w:rPr>
          <w:rFonts w:ascii="Arial" w:eastAsia="Calibri" w:hAnsi="Arial" w:cs="Arial"/>
          <w:i/>
          <w:spacing w:val="-1"/>
          <w:sz w:val="17"/>
          <w:szCs w:val="17"/>
        </w:rPr>
        <w:t>1,968,432.02</w:t>
      </w:r>
      <w:r w:rsidRPr="002E2836">
        <w:rPr>
          <w:rFonts w:ascii="Arial" w:eastAsia="Calibri" w:hAnsi="Arial" w:cs="Arial"/>
          <w:i/>
          <w:spacing w:val="-1"/>
          <w:sz w:val="17"/>
          <w:szCs w:val="17"/>
        </w:rPr>
        <w:t>, por lo que se mantiene el equilibrio presupuestal manifestado en el artículo 9 de la Ley para el Manejo de los Recursos Públicos del Estado de Querétaro.</w:t>
      </w:r>
    </w:p>
    <w:p w:rsidR="00922DCA" w:rsidRPr="002E2836" w:rsidRDefault="00922DCA" w:rsidP="00C20D74">
      <w:pPr>
        <w:spacing w:line="360" w:lineRule="auto"/>
        <w:jc w:val="both"/>
        <w:rPr>
          <w:rFonts w:ascii="Arial" w:eastAsia="Calibri" w:hAnsi="Arial" w:cs="Arial"/>
          <w:i/>
          <w:spacing w:val="-1"/>
          <w:sz w:val="17"/>
          <w:szCs w:val="17"/>
        </w:rPr>
      </w:pPr>
    </w:p>
    <w:p w:rsidR="00922DCA" w:rsidRDefault="00C20D74" w:rsidP="00C82A8B">
      <w:pPr>
        <w:spacing w:line="360" w:lineRule="auto"/>
        <w:jc w:val="both"/>
        <w:rPr>
          <w:rFonts w:ascii="Arial" w:eastAsia="Calibri" w:hAnsi="Arial" w:cs="Arial"/>
          <w:i/>
          <w:spacing w:val="-1"/>
          <w:sz w:val="17"/>
          <w:szCs w:val="17"/>
        </w:rPr>
      </w:pPr>
      <w:r>
        <w:rPr>
          <w:rFonts w:ascii="Arial" w:eastAsia="Calibri" w:hAnsi="Arial" w:cs="Arial"/>
          <w:i/>
          <w:spacing w:val="-1"/>
          <w:sz w:val="17"/>
          <w:szCs w:val="17"/>
        </w:rPr>
        <w:t>Nota 2 – Atendiendo al equilibrio presupues</w:t>
      </w:r>
      <w:r w:rsidR="00922DCA">
        <w:rPr>
          <w:rFonts w:ascii="Arial" w:eastAsia="Calibri" w:hAnsi="Arial" w:cs="Arial"/>
          <w:i/>
          <w:spacing w:val="-1"/>
          <w:sz w:val="17"/>
          <w:szCs w:val="17"/>
        </w:rPr>
        <w:t>tal que se explica en la Nota 1 a continuación, se detallan las Modificaciones al Presupuesto por el ejercicio 2017 de la siguiente manera:</w:t>
      </w:r>
    </w:p>
    <w:p w:rsidR="00922DCA" w:rsidRDefault="00922DCA" w:rsidP="00922DCA">
      <w:pPr>
        <w:spacing w:line="360" w:lineRule="auto"/>
        <w:rPr>
          <w:rFonts w:ascii="Arial" w:eastAsia="Calibri" w:hAnsi="Arial" w:cs="Arial"/>
          <w:i/>
          <w:spacing w:val="-1"/>
          <w:sz w:val="17"/>
          <w:szCs w:val="17"/>
        </w:rPr>
      </w:pPr>
    </w:p>
    <w:p w:rsidR="00922DCA" w:rsidRDefault="00922DCA" w:rsidP="00846F07">
      <w:pPr>
        <w:pStyle w:val="Prrafodelista"/>
        <w:numPr>
          <w:ilvl w:val="0"/>
          <w:numId w:val="24"/>
        </w:numPr>
        <w:spacing w:line="360" w:lineRule="auto"/>
        <w:jc w:val="both"/>
        <w:rPr>
          <w:rFonts w:ascii="Arial" w:eastAsia="Calibri" w:hAnsi="Arial" w:cs="Arial"/>
          <w:i/>
          <w:spacing w:val="-1"/>
          <w:sz w:val="17"/>
          <w:szCs w:val="17"/>
        </w:rPr>
      </w:pPr>
      <w:r>
        <w:rPr>
          <w:rFonts w:ascii="Arial" w:eastAsia="Calibri" w:hAnsi="Arial" w:cs="Arial"/>
          <w:i/>
          <w:spacing w:val="-1"/>
          <w:sz w:val="17"/>
          <w:szCs w:val="17"/>
        </w:rPr>
        <w:t>Primera modificación consistente en el Superávit Financiero generado en el ejercicio 2016 equivalente a $61,968,432.02 (Sesenta y un millones novecientos sesenta y ocho mil cuatrocientos treinta y dos pesos, 02/100 m.n.)</w:t>
      </w:r>
    </w:p>
    <w:p w:rsidR="00922DCA" w:rsidRDefault="00922DCA" w:rsidP="00846F07">
      <w:pPr>
        <w:pStyle w:val="Prrafodelista"/>
        <w:numPr>
          <w:ilvl w:val="0"/>
          <w:numId w:val="24"/>
        </w:numPr>
        <w:spacing w:line="360" w:lineRule="auto"/>
        <w:jc w:val="both"/>
        <w:rPr>
          <w:rFonts w:ascii="Arial" w:eastAsia="Calibri" w:hAnsi="Arial" w:cs="Arial"/>
          <w:i/>
          <w:spacing w:val="-1"/>
          <w:sz w:val="17"/>
          <w:szCs w:val="17"/>
        </w:rPr>
      </w:pPr>
      <w:r>
        <w:rPr>
          <w:rFonts w:ascii="Arial" w:eastAsia="Calibri" w:hAnsi="Arial" w:cs="Arial"/>
          <w:i/>
          <w:spacing w:val="-1"/>
          <w:sz w:val="17"/>
          <w:szCs w:val="17"/>
        </w:rPr>
        <w:t xml:space="preserve">Segunda modificación consistente en un incremento de $5,898,400.00 (Cinco millones ochocientos noventa y ocho mil cuatrocientos pesos, 00/100 m.n.), recurso correspondiente </w:t>
      </w:r>
      <w:r w:rsidRPr="00922DCA">
        <w:rPr>
          <w:rFonts w:ascii="Arial" w:eastAsia="Calibri" w:hAnsi="Arial" w:cs="Arial"/>
          <w:i/>
          <w:spacing w:val="-1"/>
          <w:sz w:val="17"/>
          <w:szCs w:val="17"/>
        </w:rPr>
        <w:t>a la transferencia de Gobierno del Estado destinada para el apoyo en la promoción económica del estado de Querétaro, con la apertura de nuevas rutas aéreas con origen - destino en los aeropuertos de los Ángeles y Chicago.</w:t>
      </w:r>
    </w:p>
    <w:p w:rsidR="00922DCA" w:rsidRPr="00922DCA" w:rsidRDefault="00922DCA" w:rsidP="00846F07">
      <w:pPr>
        <w:pStyle w:val="Prrafodelista"/>
        <w:numPr>
          <w:ilvl w:val="0"/>
          <w:numId w:val="24"/>
        </w:numPr>
        <w:spacing w:line="360" w:lineRule="auto"/>
        <w:jc w:val="both"/>
        <w:rPr>
          <w:rFonts w:ascii="Arial" w:eastAsia="Calibri" w:hAnsi="Arial" w:cs="Arial"/>
          <w:i/>
          <w:spacing w:val="-1"/>
          <w:sz w:val="17"/>
          <w:szCs w:val="17"/>
        </w:rPr>
      </w:pPr>
      <w:r>
        <w:rPr>
          <w:rFonts w:ascii="Arial" w:eastAsia="Calibri" w:hAnsi="Arial" w:cs="Arial"/>
          <w:i/>
          <w:spacing w:val="-1"/>
          <w:sz w:val="17"/>
          <w:szCs w:val="17"/>
        </w:rPr>
        <w:t>Tercera modificación consistente en $8,187,164.00 (Ocho millones ciento ochenta y siete mil ciento sesenta y cuatro pesos, 00/100 m.n.) motivada y fundamentada en el incremento de operaciones y pasajeros del Aeropuerto Intercontinental de Querétaro para el segundo semestre del ejercicio 2017 y aplicada a los Ingresos Aeroportuarios, Ingresos por Arrendamiento e Ingresos en Estacionamiento. Para mayor detalle consultar las Notas de Gestión Administrativa.</w:t>
      </w:r>
      <w:r w:rsidRPr="00922DCA">
        <w:rPr>
          <w:rFonts w:ascii="Arial" w:eastAsia="Calibri" w:hAnsi="Arial" w:cs="Arial"/>
          <w:i/>
          <w:spacing w:val="-1"/>
          <w:sz w:val="17"/>
          <w:szCs w:val="17"/>
        </w:rPr>
        <w:t xml:space="preserve"> </w:t>
      </w:r>
      <w:r>
        <w:rPr>
          <w:rFonts w:ascii="Arial" w:eastAsia="Calibri" w:hAnsi="Arial" w:cs="Arial"/>
          <w:i/>
          <w:spacing w:val="-1"/>
          <w:sz w:val="17"/>
          <w:szCs w:val="17"/>
        </w:rPr>
        <w:t xml:space="preserve"> </w:t>
      </w:r>
    </w:p>
    <w:p w:rsidR="00C82A8B" w:rsidRPr="00C82A8B" w:rsidRDefault="00C82A8B" w:rsidP="00C82A8B">
      <w:pPr>
        <w:autoSpaceDE w:val="0"/>
        <w:autoSpaceDN w:val="0"/>
        <w:adjustRightInd w:val="0"/>
        <w:spacing w:before="240" w:after="120"/>
        <w:rPr>
          <w:rFonts w:ascii="Arial" w:hAnsi="Arial" w:cs="Arial"/>
          <w:b/>
          <w:sz w:val="17"/>
          <w:szCs w:val="17"/>
        </w:rPr>
      </w:pPr>
      <w:r w:rsidRPr="00C82A8B">
        <w:rPr>
          <w:rFonts w:ascii="Arial" w:hAnsi="Arial" w:cs="Arial"/>
          <w:b/>
          <w:bCs/>
          <w:color w:val="000000"/>
          <w:sz w:val="18"/>
          <w:szCs w:val="18"/>
        </w:rPr>
        <w:t>I. Notas al Estado Analítico de Ingresos</w:t>
      </w:r>
      <w:r>
        <w:rPr>
          <w:rFonts w:ascii="Arial" w:hAnsi="Arial" w:cs="Arial"/>
          <w:b/>
          <w:bCs/>
          <w:color w:val="000000"/>
          <w:sz w:val="18"/>
          <w:szCs w:val="18"/>
        </w:rPr>
        <w:t xml:space="preserve"> en su Clasificación por Rubro y por Fuente de Financiamiento</w:t>
      </w:r>
      <w:r w:rsidRPr="00C82A8B">
        <w:rPr>
          <w:rFonts w:ascii="Arial" w:hAnsi="Arial" w:cs="Arial"/>
          <w:b/>
          <w:bCs/>
          <w:color w:val="000000"/>
          <w:sz w:val="18"/>
          <w:szCs w:val="18"/>
        </w:rPr>
        <w:t>:</w:t>
      </w:r>
    </w:p>
    <w:p w:rsidR="00C82A8B" w:rsidRPr="00C82A8B" w:rsidRDefault="00C82A8B" w:rsidP="00846F07">
      <w:pPr>
        <w:pStyle w:val="Prrafodelista"/>
        <w:numPr>
          <w:ilvl w:val="0"/>
          <w:numId w:val="25"/>
        </w:numPr>
        <w:autoSpaceDE w:val="0"/>
        <w:autoSpaceDN w:val="0"/>
        <w:adjustRightInd w:val="0"/>
        <w:spacing w:before="240" w:after="120" w:line="360" w:lineRule="auto"/>
        <w:jc w:val="both"/>
        <w:rPr>
          <w:rFonts w:ascii="Arial" w:hAnsi="Arial" w:cs="Arial"/>
          <w:b/>
          <w:sz w:val="17"/>
          <w:szCs w:val="17"/>
        </w:rPr>
      </w:pPr>
      <w:r>
        <w:rPr>
          <w:rFonts w:ascii="Arial" w:hAnsi="Arial" w:cs="Arial"/>
          <w:sz w:val="17"/>
          <w:szCs w:val="17"/>
        </w:rPr>
        <w:t>Como se puede observar se informa en el renglón “Ingresos por Venta de Bienes y Servicios” de manera agrupada el total de Ingresos propios derivados de la actividad del ente mismos que se detallan en las notas al estado de Actividades de los estados Financieros Contables.</w:t>
      </w:r>
    </w:p>
    <w:p w:rsidR="00C82A8B" w:rsidRPr="00C82A8B" w:rsidRDefault="00C82A8B" w:rsidP="00846F07">
      <w:pPr>
        <w:pStyle w:val="Prrafodelista"/>
        <w:numPr>
          <w:ilvl w:val="0"/>
          <w:numId w:val="25"/>
        </w:numPr>
        <w:spacing w:line="360" w:lineRule="auto"/>
        <w:jc w:val="both"/>
        <w:rPr>
          <w:rFonts w:ascii="Arial" w:hAnsi="Arial" w:cs="Arial"/>
          <w:sz w:val="17"/>
          <w:szCs w:val="17"/>
        </w:rPr>
      </w:pPr>
      <w:r w:rsidRPr="00C82A8B">
        <w:rPr>
          <w:rFonts w:ascii="Arial" w:hAnsi="Arial" w:cs="Arial"/>
          <w:sz w:val="17"/>
          <w:szCs w:val="17"/>
        </w:rPr>
        <w:t xml:space="preserve">Se informa también </w:t>
      </w:r>
      <w:r w:rsidR="00FE411F" w:rsidRPr="00C82A8B">
        <w:rPr>
          <w:rFonts w:ascii="Arial" w:hAnsi="Arial" w:cs="Arial"/>
          <w:sz w:val="17"/>
          <w:szCs w:val="17"/>
        </w:rPr>
        <w:t>de la transferencia recibida</w:t>
      </w:r>
      <w:r w:rsidRPr="00C82A8B">
        <w:rPr>
          <w:rFonts w:ascii="Arial" w:hAnsi="Arial" w:cs="Arial"/>
          <w:sz w:val="17"/>
          <w:szCs w:val="17"/>
        </w:rPr>
        <w:t xml:space="preserve"> por Gobierno del estado para el proyecto de apoyo en la promoción económica del estado de Querétaro, con la apertura de nuevas rutas aéreas con origen - destino en los aeropuertos de los Ángeles y Chicago.</w:t>
      </w:r>
    </w:p>
    <w:p w:rsidR="00C82A8B" w:rsidRPr="00FE411F" w:rsidRDefault="00FE411F" w:rsidP="00FE411F">
      <w:pPr>
        <w:autoSpaceDE w:val="0"/>
        <w:autoSpaceDN w:val="0"/>
        <w:adjustRightInd w:val="0"/>
        <w:spacing w:before="240" w:after="120" w:line="360" w:lineRule="auto"/>
        <w:ind w:left="360"/>
        <w:jc w:val="both"/>
        <w:rPr>
          <w:rFonts w:ascii="Arial" w:hAnsi="Arial" w:cs="Arial"/>
          <w:sz w:val="17"/>
          <w:szCs w:val="17"/>
        </w:rPr>
      </w:pPr>
      <w:r>
        <w:rPr>
          <w:rFonts w:ascii="Arial" w:hAnsi="Arial" w:cs="Arial"/>
          <w:sz w:val="17"/>
          <w:szCs w:val="17"/>
        </w:rPr>
        <w:t xml:space="preserve">Nótese que el importe plasmado en la columna “Ampliaciones y Reducciones” no incluye el Superávit </w:t>
      </w:r>
      <w:r w:rsidRPr="00FE411F">
        <w:rPr>
          <w:rFonts w:ascii="Arial" w:hAnsi="Arial" w:cs="Arial"/>
          <w:sz w:val="17"/>
          <w:szCs w:val="17"/>
        </w:rPr>
        <w:t>Financiero generado en el ejercicio 2016 equivalente a $61,968,432.02 (Sesenta y un millones novecientos sesenta y ocho mil cuatrocientos treinta y dos pesos, 02/100 m.n.)</w:t>
      </w:r>
      <w:r>
        <w:rPr>
          <w:rFonts w:ascii="Arial" w:hAnsi="Arial" w:cs="Arial"/>
          <w:sz w:val="17"/>
          <w:szCs w:val="17"/>
        </w:rPr>
        <w:t xml:space="preserve">, ello debido a que, </w:t>
      </w:r>
      <w:r w:rsidRPr="00FE411F">
        <w:rPr>
          <w:rFonts w:ascii="Arial" w:hAnsi="Arial" w:cs="Arial"/>
          <w:sz w:val="17"/>
          <w:szCs w:val="17"/>
        </w:rPr>
        <w:t>toda vez que el CONAC, dentro del Clasificador por Rubro de Ingresos (CRI)</w:t>
      </w:r>
      <w:r>
        <w:rPr>
          <w:rFonts w:ascii="Arial" w:hAnsi="Arial" w:cs="Arial"/>
          <w:sz w:val="17"/>
          <w:szCs w:val="17"/>
        </w:rPr>
        <w:t xml:space="preserve"> </w:t>
      </w:r>
      <w:r w:rsidRPr="00FE411F">
        <w:rPr>
          <w:rFonts w:ascii="Arial" w:hAnsi="Arial" w:cs="Arial"/>
          <w:sz w:val="17"/>
          <w:szCs w:val="17"/>
        </w:rPr>
        <w:t xml:space="preserve">armonizado a nivel de tipo, no contempla el rubro y tipo que distinga la figura de </w:t>
      </w:r>
      <w:r w:rsidRPr="00FE411F">
        <w:rPr>
          <w:rFonts w:ascii="Arial" w:hAnsi="Arial" w:cs="Arial"/>
          <w:b/>
          <w:sz w:val="17"/>
          <w:szCs w:val="17"/>
        </w:rPr>
        <w:t>remanente de ingresos de ejercicios anteriores</w:t>
      </w:r>
      <w:r>
        <w:rPr>
          <w:rFonts w:ascii="Arial" w:hAnsi="Arial" w:cs="Arial"/>
          <w:sz w:val="17"/>
          <w:szCs w:val="17"/>
        </w:rPr>
        <w:t xml:space="preserve">, </w:t>
      </w:r>
      <w:r w:rsidRPr="00FE411F">
        <w:rPr>
          <w:rFonts w:ascii="Arial" w:hAnsi="Arial" w:cs="Arial"/>
          <w:sz w:val="17"/>
          <w:szCs w:val="17"/>
        </w:rPr>
        <w:t>dejando con esto un vacío en el registro presupuestario de las amp</w:t>
      </w:r>
      <w:r>
        <w:rPr>
          <w:rFonts w:ascii="Arial" w:hAnsi="Arial" w:cs="Arial"/>
          <w:sz w:val="17"/>
          <w:szCs w:val="17"/>
        </w:rPr>
        <w:t xml:space="preserve">liaciones de la Ley de Ingresos. Por ello se agrega la </w:t>
      </w:r>
      <w:r w:rsidRPr="00FE411F">
        <w:rPr>
          <w:rFonts w:ascii="Arial" w:hAnsi="Arial" w:cs="Arial"/>
          <w:b/>
          <w:sz w:val="17"/>
          <w:szCs w:val="17"/>
        </w:rPr>
        <w:t>Nota 1</w:t>
      </w:r>
      <w:r>
        <w:rPr>
          <w:rFonts w:ascii="Arial" w:hAnsi="Arial" w:cs="Arial"/>
          <w:sz w:val="17"/>
          <w:szCs w:val="17"/>
        </w:rPr>
        <w:t xml:space="preserve"> incluida en las Cuentas de Orden Presupuestario.</w:t>
      </w:r>
    </w:p>
    <w:p w:rsidR="00E73857" w:rsidRPr="00C82A8B" w:rsidRDefault="00E73857" w:rsidP="00E73857">
      <w:pPr>
        <w:autoSpaceDE w:val="0"/>
        <w:autoSpaceDN w:val="0"/>
        <w:adjustRightInd w:val="0"/>
        <w:spacing w:before="240" w:after="120"/>
        <w:rPr>
          <w:rFonts w:ascii="Arial" w:hAnsi="Arial" w:cs="Arial"/>
          <w:b/>
          <w:sz w:val="17"/>
          <w:szCs w:val="17"/>
        </w:rPr>
      </w:pPr>
      <w:r w:rsidRPr="00C82A8B">
        <w:rPr>
          <w:rFonts w:ascii="Arial" w:hAnsi="Arial" w:cs="Arial"/>
          <w:b/>
          <w:bCs/>
          <w:color w:val="000000"/>
          <w:sz w:val="18"/>
          <w:szCs w:val="18"/>
        </w:rPr>
        <w:t>I</w:t>
      </w:r>
      <w:r>
        <w:rPr>
          <w:rFonts w:ascii="Arial" w:hAnsi="Arial" w:cs="Arial"/>
          <w:b/>
          <w:bCs/>
          <w:color w:val="000000"/>
          <w:sz w:val="18"/>
          <w:szCs w:val="18"/>
        </w:rPr>
        <w:t>I</w:t>
      </w:r>
      <w:r w:rsidRPr="00C82A8B">
        <w:rPr>
          <w:rFonts w:ascii="Arial" w:hAnsi="Arial" w:cs="Arial"/>
          <w:b/>
          <w:bCs/>
          <w:color w:val="000000"/>
          <w:sz w:val="18"/>
          <w:szCs w:val="18"/>
        </w:rPr>
        <w:t xml:space="preserve">. Notas al Estado Analítico de </w:t>
      </w:r>
      <w:r>
        <w:rPr>
          <w:rFonts w:ascii="Arial" w:hAnsi="Arial" w:cs="Arial"/>
          <w:b/>
          <w:bCs/>
          <w:color w:val="000000"/>
          <w:sz w:val="18"/>
          <w:szCs w:val="18"/>
        </w:rPr>
        <w:t>Egresos en su Clasificación por Objeto del Gasto:</w:t>
      </w:r>
    </w:p>
    <w:p w:rsidR="00E73857" w:rsidRPr="00C82A8B" w:rsidRDefault="00E73857" w:rsidP="00846F07">
      <w:pPr>
        <w:pStyle w:val="Prrafodelista"/>
        <w:numPr>
          <w:ilvl w:val="0"/>
          <w:numId w:val="26"/>
        </w:numPr>
        <w:autoSpaceDE w:val="0"/>
        <w:autoSpaceDN w:val="0"/>
        <w:adjustRightInd w:val="0"/>
        <w:spacing w:before="240" w:after="120" w:line="360" w:lineRule="auto"/>
        <w:jc w:val="both"/>
        <w:rPr>
          <w:rFonts w:ascii="Arial" w:hAnsi="Arial" w:cs="Arial"/>
          <w:b/>
          <w:sz w:val="17"/>
          <w:szCs w:val="17"/>
        </w:rPr>
      </w:pPr>
      <w:r>
        <w:rPr>
          <w:rFonts w:ascii="Arial" w:hAnsi="Arial" w:cs="Arial"/>
          <w:sz w:val="17"/>
          <w:szCs w:val="17"/>
        </w:rPr>
        <w:t>Para este apartado solo cabe hacer mención que la diferencia entre los gastos devengados y pagados equivalente a $2,308,183 (Dos millones trescientos ocho mil ciento ochenta y tres pesos, 00/100 m.n.) corresponde al presupuesto devengado y ejercido, tal como se puede observar en el apartado: Cuentas de Orden Presupuestario de Egresos.</w:t>
      </w:r>
    </w:p>
    <w:p w:rsidR="00C82A8B" w:rsidRDefault="00C82A8B" w:rsidP="00C82A8B">
      <w:pPr>
        <w:autoSpaceDE w:val="0"/>
        <w:autoSpaceDN w:val="0"/>
        <w:adjustRightInd w:val="0"/>
        <w:spacing w:before="240" w:after="120"/>
        <w:ind w:left="720"/>
        <w:rPr>
          <w:rFonts w:ascii="Arial" w:hAnsi="Arial" w:cs="Arial"/>
          <w:b/>
          <w:sz w:val="17"/>
          <w:szCs w:val="17"/>
        </w:rPr>
      </w:pPr>
    </w:p>
    <w:p w:rsidR="00C82A8B" w:rsidRDefault="00C82A8B" w:rsidP="00C82A8B">
      <w:pPr>
        <w:autoSpaceDE w:val="0"/>
        <w:autoSpaceDN w:val="0"/>
        <w:adjustRightInd w:val="0"/>
        <w:spacing w:before="240" w:after="120"/>
        <w:ind w:left="720"/>
        <w:rPr>
          <w:rFonts w:ascii="Arial" w:hAnsi="Arial" w:cs="Arial"/>
          <w:b/>
          <w:sz w:val="17"/>
          <w:szCs w:val="17"/>
        </w:rPr>
      </w:pPr>
    </w:p>
    <w:p w:rsidR="00C82A8B" w:rsidRDefault="00C82A8B" w:rsidP="00C82A8B">
      <w:pPr>
        <w:autoSpaceDE w:val="0"/>
        <w:autoSpaceDN w:val="0"/>
        <w:adjustRightInd w:val="0"/>
        <w:spacing w:before="240" w:after="120"/>
        <w:ind w:left="720"/>
        <w:rPr>
          <w:rFonts w:ascii="Arial" w:hAnsi="Arial" w:cs="Arial"/>
          <w:b/>
          <w:sz w:val="17"/>
          <w:szCs w:val="17"/>
        </w:rPr>
      </w:pPr>
    </w:p>
    <w:p w:rsidR="00C82A8B" w:rsidRDefault="00C82A8B" w:rsidP="00C82A8B">
      <w:pPr>
        <w:autoSpaceDE w:val="0"/>
        <w:autoSpaceDN w:val="0"/>
        <w:adjustRightInd w:val="0"/>
        <w:spacing w:before="240" w:after="120"/>
        <w:ind w:left="720"/>
        <w:rPr>
          <w:rFonts w:ascii="Arial" w:hAnsi="Arial" w:cs="Arial"/>
          <w:b/>
          <w:sz w:val="17"/>
          <w:szCs w:val="17"/>
        </w:rPr>
      </w:pPr>
    </w:p>
    <w:p w:rsidR="001F326D" w:rsidRPr="002D70DA" w:rsidRDefault="001F326D" w:rsidP="00846F07">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053D2"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73857" w:rsidRPr="00A67440" w:rsidRDefault="00E73857" w:rsidP="00A67440">
      <w:pPr>
        <w:spacing w:before="120" w:after="120" w:line="240" w:lineRule="exact"/>
        <w:jc w:val="both"/>
        <w:rPr>
          <w:rFonts w:ascii="Arial" w:eastAsia="Calibri" w:hAnsi="Arial" w:cs="Arial"/>
          <w:spacing w:val="-1"/>
          <w:sz w:val="17"/>
          <w:szCs w:val="17"/>
        </w:rPr>
      </w:pP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754ACC" w:rsidRPr="00AD6883" w:rsidRDefault="00754ACC" w:rsidP="00754ACC">
      <w:pPr>
        <w:spacing w:before="120" w:after="120" w:line="240" w:lineRule="exact"/>
        <w:ind w:firstLine="709"/>
        <w:jc w:val="both"/>
        <w:rPr>
          <w:rFonts w:ascii="Arial" w:eastAsia="Calibri" w:hAnsi="Arial" w:cs="Arial"/>
          <w:spacing w:val="-1"/>
          <w:sz w:val="17"/>
          <w:szCs w:val="17"/>
        </w:rPr>
      </w:pPr>
      <w:r w:rsidRPr="00AD6883">
        <w:rPr>
          <w:rFonts w:ascii="Arial" w:eastAsia="Calibri" w:hAnsi="Arial" w:cs="Arial"/>
          <w:spacing w:val="-1"/>
          <w:sz w:val="17"/>
          <w:szCs w:val="17"/>
        </w:rPr>
        <w:t>El panorama económico y  financiero del Aeropuerto Intercontinental de Querétaro, (en adelante la “compañía” o AIQ), muestra un incremento en las operaciones y arrendamientos comerciales dando un aumento considerable en los ingresos de la entidad, lo que ha generado que el presupuesto de egresos se someta a una mayor revisión, dado que los movimientos presupuestarios deben ser realizados con una mayor planeación,  derivado de que el AIQ en los últimos periodos fiscales ha generado ingresos para ser una  entidad  autosuficiente  para  hacer  frente  a  sus  gastos  corrientes,  sin  embargo  en  cuanto  al aumento de las inversiones en infraestructura de mayor importancia depende de las decisiones que se tomen en los Consejos de Administración por parte de sus accionistas: Gobierno del Estado de Querétaro y Aeropuertos y Servicios Auxiliares.</w:t>
      </w:r>
    </w:p>
    <w:p w:rsidR="00754ACC" w:rsidRDefault="00AF238A" w:rsidP="00754AC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 continuación, se presenta el incremento en los últimos 2 años y el cierre del ejercicio 2017 de los principales indicadores de crecimiento del AIQ: </w:t>
      </w:r>
    </w:p>
    <w:p w:rsidR="00AF238A" w:rsidRDefault="00AF238A" w:rsidP="00754ACC">
      <w:pPr>
        <w:spacing w:before="120" w:after="120" w:line="240" w:lineRule="exact"/>
        <w:jc w:val="both"/>
        <w:rPr>
          <w:rFonts w:ascii="Arial" w:eastAsia="Calibri" w:hAnsi="Arial" w:cs="Arial"/>
          <w:spacing w:val="-1"/>
          <w:sz w:val="17"/>
          <w:szCs w:val="17"/>
        </w:rPr>
      </w:pP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AIQ PASAJEROS TOTALES:</w:t>
      </w:r>
    </w:p>
    <w:p w:rsidR="00AF238A" w:rsidRDefault="00AF238A" w:rsidP="00754AC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Pasajeros Acumulado 2017: 820,314</w:t>
      </w: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Pasajeros Acumulado 2016: 643,920</w:t>
      </w:r>
    </w:p>
    <w:p w:rsidR="00754ACC"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Pasajeros Acumulado 2015: 508,975</w:t>
      </w:r>
    </w:p>
    <w:p w:rsidR="00AF238A" w:rsidRDefault="00AF238A" w:rsidP="00754ACC">
      <w:pPr>
        <w:spacing w:before="120" w:after="120" w:line="240" w:lineRule="exact"/>
        <w:jc w:val="both"/>
        <w:rPr>
          <w:rFonts w:ascii="Arial" w:eastAsia="Calibri" w:hAnsi="Arial" w:cs="Arial"/>
          <w:spacing w:val="-1"/>
          <w:sz w:val="17"/>
          <w:szCs w:val="17"/>
        </w:rPr>
      </w:pP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AIQ OPERACIONES</w:t>
      </w:r>
    </w:p>
    <w:p w:rsidR="00754ACC" w:rsidRPr="00AD6883" w:rsidRDefault="00AF238A"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Operaciones Acumul</w:t>
      </w:r>
      <w:r>
        <w:rPr>
          <w:rFonts w:ascii="Arial" w:eastAsia="Calibri" w:hAnsi="Arial" w:cs="Arial"/>
          <w:spacing w:val="-1"/>
          <w:sz w:val="17"/>
          <w:szCs w:val="17"/>
        </w:rPr>
        <w:t>ado enero-diciembre 2017: 40,161</w:t>
      </w: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Operaciones Acumulado enero-diciembre 2016: 33,188</w:t>
      </w: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Operaciones Acumulado enero-diciembre 2015: 29,054</w:t>
      </w:r>
    </w:p>
    <w:p w:rsidR="00AF238A" w:rsidRDefault="00AF238A" w:rsidP="00754ACC">
      <w:pPr>
        <w:spacing w:before="120" w:after="120" w:line="240" w:lineRule="exact"/>
        <w:jc w:val="both"/>
        <w:rPr>
          <w:rFonts w:ascii="Arial" w:eastAsia="Calibri" w:hAnsi="Arial" w:cs="Arial"/>
          <w:spacing w:val="-1"/>
          <w:sz w:val="17"/>
          <w:szCs w:val="17"/>
        </w:rPr>
      </w:pP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AIQ CARGA TONS</w:t>
      </w:r>
    </w:p>
    <w:p w:rsidR="00754ACC" w:rsidRPr="00AD6883" w:rsidRDefault="00AF238A"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Tonelada</w:t>
      </w:r>
      <w:r>
        <w:rPr>
          <w:rFonts w:ascii="Arial" w:eastAsia="Calibri" w:hAnsi="Arial" w:cs="Arial"/>
          <w:spacing w:val="-1"/>
          <w:sz w:val="17"/>
          <w:szCs w:val="17"/>
        </w:rPr>
        <w:t>s Acumulado enero-diciembre 2017: 35,772</w:t>
      </w: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Toneladas Acumulado enero-diciembre 2016: 24,736</w:t>
      </w: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Toneladas Acumulado enero-diciembre 2015: 22,354</w:t>
      </w:r>
    </w:p>
    <w:p w:rsidR="00754ACC" w:rsidRDefault="00754ACC" w:rsidP="00754ACC">
      <w:pPr>
        <w:spacing w:before="120" w:after="120" w:line="240" w:lineRule="exact"/>
        <w:jc w:val="both"/>
        <w:rPr>
          <w:rFonts w:ascii="Arial" w:eastAsia="Calibri" w:hAnsi="Arial" w:cs="Arial"/>
          <w:spacing w:val="-1"/>
          <w:sz w:val="17"/>
          <w:szCs w:val="17"/>
        </w:rPr>
      </w:pP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 xml:space="preserve">Es importante resaltar que estos tres indicadores representan records históricos en números absolutos de pasajeros, operaciones y toneladas respectivamente. </w:t>
      </w:r>
    </w:p>
    <w:p w:rsidR="00754ACC" w:rsidRPr="00AD6883" w:rsidRDefault="00754ACC" w:rsidP="00754ACC">
      <w:pPr>
        <w:spacing w:before="120" w:after="120" w:line="240" w:lineRule="exact"/>
        <w:jc w:val="both"/>
        <w:rPr>
          <w:rFonts w:ascii="Arial" w:eastAsia="Calibri" w:hAnsi="Arial" w:cs="Arial"/>
          <w:spacing w:val="-1"/>
          <w:sz w:val="17"/>
          <w:szCs w:val="17"/>
        </w:rPr>
      </w:pPr>
      <w:r w:rsidRPr="00AD6883">
        <w:rPr>
          <w:rFonts w:ascii="Arial" w:eastAsia="Calibri" w:hAnsi="Arial" w:cs="Arial"/>
          <w:spacing w:val="-1"/>
          <w:sz w:val="17"/>
          <w:szCs w:val="17"/>
        </w:rPr>
        <w:t>Dentro del país, e</w:t>
      </w:r>
      <w:r w:rsidR="00AF238A">
        <w:rPr>
          <w:rFonts w:ascii="Arial" w:eastAsia="Calibri" w:hAnsi="Arial" w:cs="Arial"/>
          <w:spacing w:val="-1"/>
          <w:sz w:val="17"/>
          <w:szCs w:val="17"/>
        </w:rPr>
        <w:t>l AIQ es el aeropuerto que tuvo el</w:t>
      </w:r>
      <w:r w:rsidRPr="00AD6883">
        <w:rPr>
          <w:rFonts w:ascii="Arial" w:eastAsia="Calibri" w:hAnsi="Arial" w:cs="Arial"/>
          <w:spacing w:val="-1"/>
          <w:sz w:val="17"/>
          <w:szCs w:val="17"/>
        </w:rPr>
        <w:t xml:space="preserve"> mayor índice de crecimiento de pasajeros en el periodo 2010-2016, con un índice de 34.2% de pasajeros, en este parámetro en lo que va del año 2016 ocupamos el lugar número 27 comparado con el 31 del año 2015. En el aspecto de carga el AIQ es el aeropuerto con mayor índice de crecimiento en toneladas transportadas en el periodo 2010-2016 con un 10.8% y durante 2016 ubicado en el 5º lugar en toneladas transportadas comparado con el resto de los aeropuertos en México.</w:t>
      </w:r>
    </w:p>
    <w:p w:rsidR="00AF238A" w:rsidRDefault="00AF238A" w:rsidP="00754AC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En lo que respecta durante el ejercicio 2017 el AIQ </w:t>
      </w:r>
      <w:r w:rsidR="00AF235A">
        <w:rPr>
          <w:rFonts w:ascii="Arial" w:eastAsia="Calibri" w:hAnsi="Arial" w:cs="Arial"/>
          <w:spacing w:val="-1"/>
          <w:sz w:val="17"/>
          <w:szCs w:val="17"/>
        </w:rPr>
        <w:t>continúo</w:t>
      </w:r>
      <w:r>
        <w:rPr>
          <w:rFonts w:ascii="Arial" w:eastAsia="Calibri" w:hAnsi="Arial" w:cs="Arial"/>
          <w:spacing w:val="-1"/>
          <w:sz w:val="17"/>
          <w:szCs w:val="17"/>
        </w:rPr>
        <w:t xml:space="preserve"> rindiendo frutos, destacando entre otras cosas, la apertura de nuevos destinos como se muestra a continuación:</w:t>
      </w:r>
    </w:p>
    <w:p w:rsidR="00AF238A" w:rsidRDefault="00AF238A" w:rsidP="00754AC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Nuevos destinos Internacionales 2017:</w:t>
      </w:r>
    </w:p>
    <w:p w:rsidR="00AF238A" w:rsidRDefault="00AF238A" w:rsidP="00846F07">
      <w:pPr>
        <w:pStyle w:val="Prrafodelista"/>
        <w:numPr>
          <w:ilvl w:val="0"/>
          <w:numId w:val="2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w:t>
      </w:r>
      <w:r w:rsidR="00AF235A">
        <w:rPr>
          <w:rFonts w:ascii="Arial" w:eastAsia="Calibri" w:hAnsi="Arial" w:cs="Arial"/>
          <w:spacing w:val="-1"/>
          <w:sz w:val="17"/>
          <w:szCs w:val="17"/>
        </w:rPr>
        <w:t>Ángeles</w:t>
      </w:r>
    </w:p>
    <w:p w:rsidR="00AF238A" w:rsidRDefault="00AF238A" w:rsidP="00846F07">
      <w:pPr>
        <w:pStyle w:val="Prrafodelista"/>
        <w:numPr>
          <w:ilvl w:val="0"/>
          <w:numId w:val="2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Atlanta</w:t>
      </w:r>
    </w:p>
    <w:p w:rsidR="00AF238A" w:rsidRDefault="00AF238A" w:rsidP="00846F07">
      <w:pPr>
        <w:pStyle w:val="Prrafodelista"/>
        <w:numPr>
          <w:ilvl w:val="0"/>
          <w:numId w:val="27"/>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Chicago</w:t>
      </w:r>
    </w:p>
    <w:p w:rsidR="00AF238A" w:rsidRDefault="00AF238A" w:rsidP="00AF238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Nuevos destinos Nacionales 2017:</w:t>
      </w:r>
    </w:p>
    <w:p w:rsidR="00AF238A" w:rsidRDefault="00AF238A" w:rsidP="00846F07">
      <w:pPr>
        <w:pStyle w:val="Prrafodelista"/>
        <w:numPr>
          <w:ilvl w:val="0"/>
          <w:numId w:val="2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Chihuahua</w:t>
      </w:r>
    </w:p>
    <w:p w:rsidR="00AF238A" w:rsidRDefault="00AF235A" w:rsidP="00846F07">
      <w:pPr>
        <w:pStyle w:val="Prrafodelista"/>
        <w:numPr>
          <w:ilvl w:val="0"/>
          <w:numId w:val="2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Zihuatanejo</w:t>
      </w:r>
    </w:p>
    <w:p w:rsidR="00AF235A" w:rsidRDefault="00AF235A" w:rsidP="00846F07">
      <w:pPr>
        <w:pStyle w:val="Prrafodelista"/>
        <w:numPr>
          <w:ilvl w:val="0"/>
          <w:numId w:val="2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Puerto Vallarta</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846F07">
      <w:pPr>
        <w:pStyle w:val="Prrafodelista"/>
        <w:numPr>
          <w:ilvl w:val="0"/>
          <w:numId w:val="12"/>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A67440" w:rsidRPr="00754ACC" w:rsidRDefault="00A67440" w:rsidP="00846F07">
      <w:pPr>
        <w:pStyle w:val="Prrafodelista"/>
        <w:numPr>
          <w:ilvl w:val="0"/>
          <w:numId w:val="12"/>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754ACC" w:rsidRPr="00F55AE1" w:rsidRDefault="00754ACC" w:rsidP="00754ACC">
      <w:pPr>
        <w:spacing w:before="120" w:after="120" w:line="240" w:lineRule="exact"/>
        <w:ind w:firstLine="360"/>
        <w:jc w:val="both"/>
        <w:rPr>
          <w:rFonts w:ascii="Arial" w:eastAsia="Calibri" w:hAnsi="Arial" w:cs="Arial"/>
          <w:spacing w:val="-1"/>
          <w:sz w:val="17"/>
          <w:szCs w:val="17"/>
        </w:rPr>
      </w:pPr>
      <w:r w:rsidRPr="00F55AE1">
        <w:rPr>
          <w:rFonts w:ascii="Arial" w:eastAsia="Calibri" w:hAnsi="Arial" w:cs="Arial"/>
          <w:spacing w:val="-1"/>
          <w:sz w:val="17"/>
          <w:szCs w:val="17"/>
        </w:rPr>
        <w:t>El Aeropuerto Intercontinental de Querétaro S.A. de C.V. (en adelante la “compañía” o AIQ) es una sociedad Anónima de Capital Variable de naturaleza mercantil de acuerdo a la Leyes Mexicanas; constituida el 9 de Septiembre de 2003, siendo su objeto principal el de llevar a cabo la construcción, administración, operación y/o explotación del Aeropuerto Intercontinental de Querétaro, así como prestar servicios aeroportuarios, complementarios y comerciales para la explotación del mismo de conformidad con los dispuesto en la ley de Aeropuertos y sus Reglamento, por si o por conducto de terceras personas.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A partir de noviembre de 2004, inicio operaciones con la explotación de la Concesión de dicho Aeropuerto, teniendo como objeto social lo siguiente:</w:t>
      </w:r>
    </w:p>
    <w:p w:rsidR="00754ACC" w:rsidRPr="00F55AE1" w:rsidRDefault="00754ACC" w:rsidP="00754AC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 xml:space="preserve">a) </w:t>
      </w:r>
      <w:r w:rsidRPr="00F55AE1">
        <w:rPr>
          <w:rFonts w:ascii="Arial" w:eastAsia="Calibri" w:hAnsi="Arial" w:cs="Arial"/>
          <w:spacing w:val="-1"/>
          <w:sz w:val="17"/>
          <w:szCs w:val="17"/>
        </w:rPr>
        <w:t>Administrar, operar y conserva el aeropuerto, su pista, plataformas, edificios y servicios complementarios y auxiliares.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b)</w:t>
      </w:r>
      <w:r>
        <w:rPr>
          <w:rFonts w:ascii="Arial" w:eastAsia="Calibri" w:hAnsi="Arial" w:cs="Arial"/>
          <w:spacing w:val="-1"/>
          <w:sz w:val="17"/>
          <w:szCs w:val="17"/>
        </w:rPr>
        <w:t xml:space="preserve"> </w:t>
      </w:r>
      <w:r w:rsidRPr="00F55AE1">
        <w:rPr>
          <w:rFonts w:ascii="Arial" w:eastAsia="Calibri" w:hAnsi="Arial" w:cs="Arial"/>
          <w:spacing w:val="-1"/>
          <w:sz w:val="17"/>
          <w:szCs w:val="17"/>
        </w:rPr>
        <w:t>Proporcionar y administrar los servicios aeroportuarios, complementarios y comerciales para la explotación del mismo, de conformada con lo establecido en la Ley de aeropuerto y su reglamento, por si o por conducto de terceras personas.</w:t>
      </w:r>
    </w:p>
    <w:p w:rsidR="00754ACC"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El período de operaciones de la Compañía y el ejercicio fiscal, comprenden del 1 </w:t>
      </w:r>
      <w:r w:rsidR="00AF235A">
        <w:rPr>
          <w:rFonts w:ascii="Arial" w:eastAsia="Calibri" w:hAnsi="Arial" w:cs="Arial"/>
          <w:spacing w:val="-1"/>
          <w:sz w:val="17"/>
          <w:szCs w:val="17"/>
        </w:rPr>
        <w:t>de enero al 31 diciembre de 2017</w:t>
      </w:r>
      <w:r w:rsidRPr="00F55AE1">
        <w:rPr>
          <w:rFonts w:ascii="Arial" w:eastAsia="Calibri" w:hAnsi="Arial" w:cs="Arial"/>
          <w:spacing w:val="-1"/>
          <w:sz w:val="17"/>
          <w:szCs w:val="17"/>
        </w:rPr>
        <w:t>.</w:t>
      </w:r>
    </w:p>
    <w:p w:rsidR="00AF235A" w:rsidRDefault="00AF235A" w:rsidP="00754ACC">
      <w:pPr>
        <w:spacing w:before="120" w:after="120" w:line="240" w:lineRule="exact"/>
        <w:jc w:val="both"/>
        <w:rPr>
          <w:rFonts w:ascii="Arial" w:eastAsia="Calibri" w:hAnsi="Arial" w:cs="Arial"/>
          <w:spacing w:val="-1"/>
          <w:sz w:val="17"/>
          <w:szCs w:val="17"/>
        </w:rPr>
      </w:pPr>
    </w:p>
    <w:p w:rsidR="00754ACC" w:rsidRPr="0078268A" w:rsidRDefault="00754ACC" w:rsidP="00754ACC">
      <w:pPr>
        <w:spacing w:before="120" w:after="120" w:line="240" w:lineRule="exact"/>
        <w:jc w:val="both"/>
        <w:rPr>
          <w:rFonts w:ascii="Arial" w:eastAsia="Calibri" w:hAnsi="Arial" w:cs="Arial"/>
          <w:b/>
          <w:spacing w:val="-1"/>
          <w:sz w:val="17"/>
          <w:szCs w:val="17"/>
        </w:rPr>
      </w:pPr>
      <w:r w:rsidRPr="0078268A">
        <w:rPr>
          <w:rFonts w:ascii="Arial" w:eastAsia="Calibri" w:hAnsi="Arial" w:cs="Arial"/>
          <w:b/>
          <w:spacing w:val="-1"/>
          <w:sz w:val="17"/>
          <w:szCs w:val="17"/>
        </w:rPr>
        <w:t>Concesiones: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Con fecha 16 de noviembre de 2004, el gobierno Federal a través de la Secretaría de Comunicaciones y Transportes (SCT) otorgó Título de Concesión a favor de la compañía para que dicho aeropuerto administre, opere y explote y en su caso lleve a cabo construcciones en el aeropuerto correspondiente, necesarias p</w:t>
      </w:r>
      <w:r>
        <w:rPr>
          <w:rFonts w:ascii="Arial" w:eastAsia="Calibri" w:hAnsi="Arial" w:cs="Arial"/>
          <w:spacing w:val="-1"/>
          <w:sz w:val="17"/>
          <w:szCs w:val="17"/>
        </w:rPr>
        <w:t>ara la prestación de servicios.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Dicha concesión establece entre otros asuntos los siguientes: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a)</w:t>
      </w:r>
      <w:r>
        <w:rPr>
          <w:rFonts w:ascii="Arial" w:eastAsia="Calibri" w:hAnsi="Arial" w:cs="Arial"/>
          <w:spacing w:val="-1"/>
          <w:sz w:val="17"/>
          <w:szCs w:val="17"/>
        </w:rPr>
        <w:t xml:space="preserve"> </w:t>
      </w:r>
      <w:r w:rsidRPr="00F55AE1">
        <w:rPr>
          <w:rFonts w:ascii="Arial" w:eastAsia="Calibri" w:hAnsi="Arial" w:cs="Arial"/>
          <w:spacing w:val="-1"/>
          <w:sz w:val="17"/>
          <w:szCs w:val="17"/>
        </w:rPr>
        <w:t>Los terrenos en los que se encuentra construido el aeropuerto deberán ser utilizados durante el tiempo de vigencia de la concesión exclusivamente para su objeto, aun en el caso de que los mismos fueran gravados o enajenados, salvo autorización previa de la SCT.</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b)</w:t>
      </w:r>
      <w:r>
        <w:rPr>
          <w:rFonts w:ascii="Arial" w:eastAsia="Calibri" w:hAnsi="Arial" w:cs="Arial"/>
          <w:spacing w:val="-1"/>
          <w:sz w:val="17"/>
          <w:szCs w:val="17"/>
        </w:rPr>
        <w:t xml:space="preserve"> </w:t>
      </w:r>
      <w:r w:rsidRPr="00F55AE1">
        <w:rPr>
          <w:rFonts w:ascii="Arial" w:eastAsia="Calibri" w:hAnsi="Arial" w:cs="Arial"/>
          <w:spacing w:val="-1"/>
          <w:sz w:val="17"/>
          <w:szCs w:val="17"/>
        </w:rPr>
        <w:t>La compañía podrá otorgar el uso y dar en arrendamiento superficies incluidas en la infraestructura aeroportuaria y en áreas destinadas a la prestación de servicios comerciales, otorgar los derechos de uso de paso sobre las mismas, además de áreas destinadas a la prestación de servicios comerciales.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c)</w:t>
      </w:r>
      <w:r>
        <w:rPr>
          <w:rFonts w:ascii="Arial" w:eastAsia="Calibri" w:hAnsi="Arial" w:cs="Arial"/>
          <w:spacing w:val="-1"/>
          <w:sz w:val="17"/>
          <w:szCs w:val="17"/>
        </w:rPr>
        <w:t xml:space="preserve"> </w:t>
      </w:r>
      <w:r w:rsidRPr="00F55AE1">
        <w:rPr>
          <w:rFonts w:ascii="Arial" w:eastAsia="Calibri" w:hAnsi="Arial" w:cs="Arial"/>
          <w:spacing w:val="-1"/>
          <w:sz w:val="17"/>
          <w:szCs w:val="17"/>
        </w:rPr>
        <w:t>La concesión incluye la prestación de los servicios aeroportuarios, complementarios y comerciales en el aeropuerto, ya sea prestados directamente por la concesionaria o por conducto de terceros.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d)</w:t>
      </w:r>
      <w:r>
        <w:rPr>
          <w:rFonts w:ascii="Arial" w:eastAsia="Calibri" w:hAnsi="Arial" w:cs="Arial"/>
          <w:spacing w:val="-1"/>
          <w:sz w:val="17"/>
          <w:szCs w:val="17"/>
        </w:rPr>
        <w:t xml:space="preserve"> </w:t>
      </w:r>
      <w:r w:rsidRPr="00F55AE1">
        <w:rPr>
          <w:rFonts w:ascii="Arial" w:eastAsia="Calibri" w:hAnsi="Arial" w:cs="Arial"/>
          <w:spacing w:val="-1"/>
          <w:sz w:val="17"/>
          <w:szCs w:val="17"/>
        </w:rPr>
        <w:t>Aeropuertos y servicios auxiliares prestara en el aeropuerto de conformidad con la legislación aplicable, los servicios complementarios consistentes en el almacenamiento, distribución, suministro, abastecimiento y succión de combustible a los operadores, concesionarios y permisionarios del servicio de transporte aéreo y usuarios del aeropuerto.</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w:t>
      </w:r>
      <w:r>
        <w:rPr>
          <w:rFonts w:ascii="Arial" w:eastAsia="Calibri" w:hAnsi="Arial" w:cs="Arial"/>
          <w:spacing w:val="-1"/>
          <w:sz w:val="17"/>
          <w:szCs w:val="17"/>
        </w:rPr>
        <w:t xml:space="preserve"> </w:t>
      </w:r>
      <w:r w:rsidRPr="00F55AE1">
        <w:rPr>
          <w:rFonts w:ascii="Arial" w:eastAsia="Calibri" w:hAnsi="Arial" w:cs="Arial"/>
          <w:spacing w:val="-1"/>
          <w:sz w:val="17"/>
          <w:szCs w:val="17"/>
        </w:rPr>
        <w:t>La concesionaria deberá conservar y mantener el aeropuerto en condiciones de seguridad, eficiencia y niveles de calidad requeridos, de conformidad con la legislación aplicable.</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f)</w:t>
      </w:r>
      <w:r>
        <w:rPr>
          <w:rFonts w:ascii="Arial" w:eastAsia="Calibri" w:hAnsi="Arial" w:cs="Arial"/>
          <w:spacing w:val="-1"/>
          <w:sz w:val="17"/>
          <w:szCs w:val="17"/>
        </w:rPr>
        <w:t xml:space="preserve"> </w:t>
      </w:r>
      <w:r w:rsidRPr="00F55AE1">
        <w:rPr>
          <w:rFonts w:ascii="Arial" w:eastAsia="Calibri" w:hAnsi="Arial" w:cs="Arial"/>
          <w:spacing w:val="-1"/>
          <w:sz w:val="17"/>
          <w:szCs w:val="17"/>
        </w:rPr>
        <w:t>La concesionaria deberá contar con un Administrador Aeroportuario, quien deberá tener las facultades suficientes para llevar a cabo las funciones que la Ley de aeropuertos establece a su cargo.</w:t>
      </w:r>
    </w:p>
    <w:p w:rsidR="00754ACC"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g)</w:t>
      </w:r>
      <w:r>
        <w:rPr>
          <w:rFonts w:ascii="Arial" w:eastAsia="Calibri" w:hAnsi="Arial" w:cs="Arial"/>
          <w:spacing w:val="-1"/>
          <w:sz w:val="17"/>
          <w:szCs w:val="17"/>
        </w:rPr>
        <w:t xml:space="preserve"> </w:t>
      </w:r>
      <w:r w:rsidRPr="00F55AE1">
        <w:rPr>
          <w:rFonts w:ascii="Arial" w:eastAsia="Calibri" w:hAnsi="Arial" w:cs="Arial"/>
          <w:spacing w:val="-1"/>
          <w:sz w:val="17"/>
          <w:szCs w:val="17"/>
        </w:rPr>
        <w:t>La concesión tendrá una vigencia de 50 años, contados a partir de la fecha de su otorgamiento, misma que podrá ser prorrogable en términos de la Ley de Aeropuertos.</w:t>
      </w:r>
    </w:p>
    <w:p w:rsidR="00754ACC" w:rsidRPr="0078268A" w:rsidRDefault="00754ACC" w:rsidP="00754ACC">
      <w:pPr>
        <w:spacing w:before="120" w:after="120" w:line="240" w:lineRule="exact"/>
        <w:jc w:val="both"/>
        <w:rPr>
          <w:rFonts w:ascii="Arial" w:eastAsia="Calibri" w:hAnsi="Arial" w:cs="Arial"/>
          <w:b/>
          <w:spacing w:val="-1"/>
          <w:sz w:val="17"/>
          <w:szCs w:val="17"/>
        </w:rPr>
      </w:pPr>
      <w:r w:rsidRPr="0078268A">
        <w:rPr>
          <w:rFonts w:ascii="Arial" w:eastAsia="Calibri" w:hAnsi="Arial" w:cs="Arial"/>
          <w:b/>
          <w:spacing w:val="-1"/>
          <w:sz w:val="17"/>
          <w:szCs w:val="17"/>
        </w:rPr>
        <w:t>Certificaciones:</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La Secretaría de Comunicaciones y Transportes (en delante SCT) a través de la Dirección General de Aeronáutica Civil (en delante DGAC) otorgó “Certificado de Aeródromo Civil” al Aeropuerto Intercontinental de Querétaro S.A. de C.V. con fecha de emisión del 17 de septiembre de 2009. La compañía es considerada como 1a. en México en cumplir con las normas nacionales e internacionales descritas en el anexo 14 al Convenio sobre Aviación Civil Internacional de la OACI (Organización de Aviación Civil Internacional) y demás disposiciones legales aplicables referentes a: </w:t>
      </w:r>
      <w:r w:rsidR="0078268A" w:rsidRPr="00F55AE1">
        <w:rPr>
          <w:rFonts w:ascii="Arial" w:eastAsia="Calibri" w:hAnsi="Arial" w:cs="Arial"/>
          <w:spacing w:val="-1"/>
          <w:sz w:val="17"/>
          <w:szCs w:val="17"/>
        </w:rPr>
        <w:t>Generalidades,</w:t>
      </w:r>
      <w:r w:rsidRPr="00F55AE1">
        <w:rPr>
          <w:rFonts w:ascii="Arial" w:eastAsia="Calibri" w:hAnsi="Arial" w:cs="Arial"/>
          <w:spacing w:val="-1"/>
          <w:sz w:val="17"/>
          <w:szCs w:val="17"/>
        </w:rPr>
        <w:t xml:space="preserve"> Datos sobre el aeródromo, Características físicas, Restricciones y eliminación de obstáculos, Ayudas visuales, Sistemas eléctricos, Servicios, Equipo e instalaciones de aeródromo y Mantenimiento del aeródromo.</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Con fecha 17 de mayo de 2013 el aeropuerto fue nuevamente el primero en el país en renovar su “Certificado de Aeródromo Civil”.</w:t>
      </w:r>
    </w:p>
    <w:p w:rsidR="00754ACC" w:rsidRPr="00F55AE1"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lastRenderedPageBreak/>
        <w:t>Cabe mencionar que con fecha 20 de junio de 2014 el AIQ recibió autorización por la Dirección General de Aeronáutica Civil para la operación de la aeronave B747-8, una de las más grandes que operan en el mundo, siendo el Aeropuerto Intercontinental de Querétaro el tercero en el país en contar con esa capacidad después de los aeropuertos de la Ciudad de México y de Guadalajara.</w:t>
      </w:r>
    </w:p>
    <w:p w:rsidR="00754ACC" w:rsidRDefault="00754ACC" w:rsidP="00754ACC">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Es importante señalar que el AIQ, es el primer aeropuerto a nivel nacional que ha recibido la tercera certificación como aeródromo civil. El pasado 17 de octubre de 2016 la SCT, a través de la DGAC, otorgo el Certificado de Aeródromo Civil (Áreas técnicas operacionales) lo que garantiza que las instalaciones, los procedimientos y el personal del AIQ cumplen con los estándares técnicos internacionales requeridos y que sus áreas y procedimientos operacionales están en conformidad con la Normativa Internacional descrita en el anexo 14 de la Organización de Aviación Civil Internacional (OACI), así como la Normatividad Nacional para la correcta gestión de las operaciones, y por ende se minimizan los riesgos asociados.</w:t>
      </w: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r w:rsidR="00AF235A">
        <w:rPr>
          <w:rFonts w:ascii="Arial" w:eastAsia="Calibri" w:hAnsi="Arial" w:cs="Arial"/>
          <w:spacing w:val="-1"/>
          <w:sz w:val="17"/>
          <w:szCs w:val="17"/>
        </w:rPr>
        <w:t xml:space="preserve"> </w:t>
      </w:r>
    </w:p>
    <w:p w:rsidR="00AF235A" w:rsidRPr="00A67440"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Prestación de Servicios Aeroportuarios para aviación general y privada en el ámbito de Pasajeros, Carga y Descarga de Mercancías, servicios de Arrendamiento a locatarios y personas dedicadas a la transportación aérea y servicios en general de estacionamiento y pensión vehicular, en el estado de Querétaro.</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AF235A" w:rsidRPr="00A67440"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Servicios Aeroportuarios para la aviación general y privada.</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p>
    <w:p w:rsidR="00AF235A" w:rsidRPr="00A67440"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Ejercicio Fiscal que se informa: 2017</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AF235A" w:rsidRPr="00AF235A"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Régimen General de las Personas Morales de Ley.</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AF235A" w:rsidRPr="00A67440"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entidad está sujeta a Leyes fiscales, en materia tributaria y de fiscalización vigentes en el territorio nacional, la Ley General de Sociedades Mercantiles, así como las leyes aplicables a los entes públicos por ser una entidad con participación Estatal Mayoritaria como son la Ley General de Contabilidad Gubernamental y la Ley de Disciplina Financiera.</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AF235A" w:rsidRPr="00A67440"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Consta de una organización en la cual en la parte superior del Organigrama se encuentra la Dirección General, seguido del Administrador Aeroportuario y de ahí nacen las Direcciones y Coordinaciones de cada área en el AIQ.</w:t>
      </w:r>
    </w:p>
    <w:p w:rsidR="00A67440" w:rsidRDefault="00A67440" w:rsidP="00846F07">
      <w:pPr>
        <w:pStyle w:val="Prrafodelista"/>
        <w:numPr>
          <w:ilvl w:val="0"/>
          <w:numId w:val="13"/>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AF235A" w:rsidRPr="0078268A" w:rsidRDefault="00AF235A" w:rsidP="00AF235A">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entidad no cuenta con Fideicomisos vigentes que reportar para el ejercicio que se informa.</w:t>
      </w:r>
    </w:p>
    <w:p w:rsidR="0078268A" w:rsidRDefault="0078268A" w:rsidP="00A67440">
      <w:pPr>
        <w:spacing w:before="120" w:after="120" w:line="240" w:lineRule="exact"/>
        <w:jc w:val="both"/>
        <w:rPr>
          <w:rFonts w:ascii="Arial" w:eastAsia="Calibri" w:hAnsi="Arial" w:cs="Arial"/>
          <w:spacing w:val="-1"/>
          <w:sz w:val="17"/>
          <w:szCs w:val="17"/>
        </w:rPr>
      </w:pPr>
    </w:p>
    <w:p w:rsidR="00AF235A" w:rsidRDefault="00AF235A" w:rsidP="00A67440">
      <w:pPr>
        <w:spacing w:before="120" w:after="120" w:line="240" w:lineRule="exact"/>
        <w:jc w:val="both"/>
        <w:rPr>
          <w:rFonts w:ascii="Arial" w:eastAsia="Calibri" w:hAnsi="Arial" w:cs="Arial"/>
          <w:spacing w:val="-1"/>
          <w:sz w:val="17"/>
          <w:szCs w:val="17"/>
        </w:rPr>
      </w:pPr>
    </w:p>
    <w:p w:rsidR="00AF235A" w:rsidRDefault="00AF235A" w:rsidP="00A67440">
      <w:pPr>
        <w:spacing w:before="120" w:after="120" w:line="240" w:lineRule="exact"/>
        <w:jc w:val="both"/>
        <w:rPr>
          <w:rFonts w:ascii="Arial" w:eastAsia="Calibri" w:hAnsi="Arial" w:cs="Arial"/>
          <w:spacing w:val="-1"/>
          <w:sz w:val="17"/>
          <w:szCs w:val="17"/>
        </w:rPr>
      </w:pPr>
    </w:p>
    <w:p w:rsidR="00AF235A" w:rsidRDefault="00AF235A" w:rsidP="00A67440">
      <w:pPr>
        <w:spacing w:before="120" w:after="120" w:line="240" w:lineRule="exact"/>
        <w:jc w:val="both"/>
        <w:rPr>
          <w:rFonts w:ascii="Arial" w:eastAsia="Calibri" w:hAnsi="Arial" w:cs="Arial"/>
          <w:spacing w:val="-1"/>
          <w:sz w:val="17"/>
          <w:szCs w:val="17"/>
        </w:rPr>
      </w:pPr>
    </w:p>
    <w:p w:rsidR="00AF235A" w:rsidRDefault="00AF235A" w:rsidP="00A67440">
      <w:pPr>
        <w:spacing w:before="120" w:after="120" w:line="240" w:lineRule="exact"/>
        <w:jc w:val="both"/>
        <w:rPr>
          <w:rFonts w:ascii="Arial" w:eastAsia="Calibri" w:hAnsi="Arial" w:cs="Arial"/>
          <w:spacing w:val="-1"/>
          <w:sz w:val="17"/>
          <w:szCs w:val="17"/>
        </w:rPr>
      </w:pP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sobre:</w:t>
      </w:r>
    </w:p>
    <w:p w:rsidR="00A67440" w:rsidRPr="00A67440" w:rsidRDefault="00A67440" w:rsidP="00846F07">
      <w:pPr>
        <w:pStyle w:val="Prrafodelista"/>
        <w:numPr>
          <w:ilvl w:val="1"/>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846F07">
      <w:pPr>
        <w:pStyle w:val="Prrafodelista"/>
        <w:numPr>
          <w:ilvl w:val="1"/>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846F07">
      <w:pPr>
        <w:pStyle w:val="Prrafodelista"/>
        <w:numPr>
          <w:ilvl w:val="1"/>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846F07">
      <w:pPr>
        <w:pStyle w:val="Prrafodelista"/>
        <w:numPr>
          <w:ilvl w:val="1"/>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846F07">
      <w:pPr>
        <w:pStyle w:val="Prrafodelista"/>
        <w:numPr>
          <w:ilvl w:val="1"/>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846F07">
      <w:pPr>
        <w:pStyle w:val="Prrafodelista"/>
        <w:numPr>
          <w:ilvl w:val="2"/>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846F07">
      <w:pPr>
        <w:pStyle w:val="Prrafodelista"/>
        <w:numPr>
          <w:ilvl w:val="2"/>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846F07">
      <w:pPr>
        <w:pStyle w:val="Prrafodelista"/>
        <w:numPr>
          <w:ilvl w:val="2"/>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78268A" w:rsidRPr="0078268A" w:rsidRDefault="00A67440" w:rsidP="00846F07">
      <w:pPr>
        <w:pStyle w:val="Prrafodelista"/>
        <w:numPr>
          <w:ilvl w:val="2"/>
          <w:numId w:val="1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78268A" w:rsidRDefault="0078268A" w:rsidP="0078268A">
      <w:pPr>
        <w:spacing w:before="120" w:after="120" w:line="240" w:lineRule="exact"/>
        <w:ind w:firstLine="709"/>
        <w:jc w:val="both"/>
        <w:rPr>
          <w:rFonts w:ascii="Arial" w:eastAsia="Calibri" w:hAnsi="Arial" w:cs="Arial"/>
          <w:spacing w:val="-1"/>
          <w:sz w:val="17"/>
          <w:szCs w:val="17"/>
        </w:rPr>
      </w:pPr>
      <w:r w:rsidRPr="00F55AE1">
        <w:rPr>
          <w:rFonts w:ascii="Arial" w:eastAsia="Calibri" w:hAnsi="Arial" w:cs="Arial"/>
          <w:spacing w:val="-1"/>
          <w:sz w:val="17"/>
          <w:szCs w:val="17"/>
        </w:rPr>
        <w:t>Los estados financieros adjuntos han sido preparados de acuerdo a la Ley General de Contabilidad Gubernamental (LGCG), dicha Ley tiene por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78268A" w:rsidRDefault="0044183E" w:rsidP="0044183E">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 xml:space="preserve">El pasado </w:t>
      </w:r>
      <w:r w:rsidRPr="0044183E">
        <w:rPr>
          <w:rFonts w:ascii="Arial" w:eastAsia="Calibri" w:hAnsi="Arial" w:cs="Arial"/>
          <w:spacing w:val="-1"/>
          <w:sz w:val="17"/>
          <w:szCs w:val="17"/>
        </w:rPr>
        <w:t>27 de abril de 2016 se publicó en el Diario Oficial de la Federación la Ley de Disciplina Financiera de las Entidades Federativas y los Municipios (LDF), la cual tiene por objeto establecer los criterios generales de responsabilidad hacendaria y financiera que regirán a las Entidades Federativas y los Municipios, así como a sus respectivos Entes Públicos, para un manejo sostenible de sus finanzas públicas</w:t>
      </w:r>
      <w:r>
        <w:rPr>
          <w:rFonts w:ascii="Arial" w:eastAsia="Calibri" w:hAnsi="Arial" w:cs="Arial"/>
          <w:spacing w:val="-1"/>
          <w:sz w:val="17"/>
          <w:szCs w:val="17"/>
        </w:rPr>
        <w:t>. Dicha Ley y sus ordenamientos fueron definitivos y de carácter obligatorio para los entes públicos a partir del 01 de enero de 2017 por lo cual en este sentido, los estados financieros y presupuestarios que acompañan a las presentes notas incluyen los formatos vigentes de la nueva Ley de Disciplina Financiera para las Entidades Federativas y los Municipios.</w:t>
      </w:r>
    </w:p>
    <w:p w:rsidR="0044183E" w:rsidRPr="0078268A" w:rsidRDefault="0044183E" w:rsidP="0044183E">
      <w:pPr>
        <w:spacing w:before="120" w:after="120" w:line="240" w:lineRule="exact"/>
        <w:ind w:firstLine="709"/>
        <w:jc w:val="both"/>
        <w:rPr>
          <w:rFonts w:ascii="Arial" w:eastAsia="Calibri" w:hAnsi="Arial" w:cs="Arial"/>
          <w:spacing w:val="-1"/>
          <w:sz w:val="17"/>
          <w:szCs w:val="17"/>
        </w:rPr>
      </w:pP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Provisiones: objetivo de su creación, monto y plazo.</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846F07">
      <w:pPr>
        <w:pStyle w:val="Prrafodelista"/>
        <w:numPr>
          <w:ilvl w:val="1"/>
          <w:numId w:val="1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78268A" w:rsidRPr="00F55AE1" w:rsidRDefault="0078268A" w:rsidP="0078268A">
      <w:pPr>
        <w:spacing w:before="120" w:after="120" w:line="240" w:lineRule="exact"/>
        <w:ind w:firstLine="709"/>
        <w:jc w:val="both"/>
        <w:rPr>
          <w:rFonts w:ascii="Arial" w:eastAsia="Calibri" w:hAnsi="Arial" w:cs="Arial"/>
          <w:spacing w:val="-1"/>
          <w:sz w:val="17"/>
          <w:szCs w:val="17"/>
        </w:rPr>
      </w:pPr>
      <w:r w:rsidRPr="00F55AE1">
        <w:rPr>
          <w:rFonts w:ascii="Arial" w:eastAsia="Calibri" w:hAnsi="Arial" w:cs="Arial"/>
          <w:spacing w:val="-1"/>
          <w:sz w:val="17"/>
          <w:szCs w:val="17"/>
        </w:rPr>
        <w:t>El principal ingreso que percibe la entidad corresponde a la tarifa aplicada a cada una de las personas que en calidad de pasajeros nacionales e internacionales usan las instalaciones de los edificios terminales del AIQ en vuelos de salida, de conformidad con el acuerdo que autoriza las tarifas y su aplicación por los servicios aeroportuarios y complementarios. Durante 2016 el valor de la Tarifa de Uso de Aeropuerto (TUA) Nacional fue de $195.44 pesos, moneda nacional y la TUA Internacional fue de 19.55 USD, publicado en el Diario Oficial de la Federación (DOF) el 9 de marzo de 2015 con vigencia hasta el 2 de mayo de 2016, ya que el 3 de mayo del mismo año se publicó la tarifa para el TUA nacional en $ 201.30 pesos, moneda nacional y el TUA Internacional en 20.14 USD, igualmente publicado en el DOF de la fecha mencionada.</w:t>
      </w:r>
    </w:p>
    <w:p w:rsidR="0078268A" w:rsidRPr="00F55AE1"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Uso de estimaciones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La preparación de los estados financieros contables requiere del uso de estimaciones en la valuación de algunos de sus renglones. La Compañía basó sus estimaciones en la información disponible cuando se formularon los estados financieros. Sin embargo, las circunstancias e hipótesis existentes sobre hechos futuros pueden sufrir alteraciones debido a cambios en el mercado o a circunstancias que están fuera de control de la compañía. Dichos cambios se reflejan en las hipótesis cuando se producen.</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Los supuestos clave utilizados al 31 de diciembre de </w:t>
      </w:r>
      <w:r w:rsidR="0044183E">
        <w:rPr>
          <w:rFonts w:ascii="Arial" w:eastAsia="Calibri" w:hAnsi="Arial" w:cs="Arial"/>
          <w:spacing w:val="-1"/>
          <w:sz w:val="17"/>
          <w:szCs w:val="17"/>
        </w:rPr>
        <w:t xml:space="preserve">2017 y </w:t>
      </w:r>
      <w:r w:rsidRPr="00F55AE1">
        <w:rPr>
          <w:rFonts w:ascii="Arial" w:eastAsia="Calibri" w:hAnsi="Arial" w:cs="Arial"/>
          <w:spacing w:val="-1"/>
          <w:sz w:val="17"/>
          <w:szCs w:val="17"/>
        </w:rPr>
        <w:t>2016, en la determinación de estimaciones que implican incertidumbre y que pueden tener un riesgo significativo de ocasionar ajustes de relativa importancia sobre el importe en libros de los activos y pasivos durante el siguiente ejercicio, son los siguientes: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Beneficios al retiro del personal</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El costo de los beneficios definidos por los planes de pensión y el valor presente de las obligaciones correspondientes se determinan mediante valuaciones actuariales. Las valuaciones actuariales implican varios supuestos. Estos incluyen la determinación de la tasa de descuento, los futuros aumentos salariales, las tasas de mortalidad y los futuros aumentos de las pensiones. Debido a la complejidad de la valuación, los supuestos subyacentes y su naturaleza de largo plazo, las obligaciones de beneficios definidos son muy sensibles a los cambios en estos supuestos. Todos los supuestos se someten a revisión a cada fecha de cierre del período que se informa.</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Los aumentos futuros de salarios y pensiones se basan en los índices de inflación futuros esperados en el país.</w:t>
      </w:r>
    </w:p>
    <w:p w:rsidR="0078268A" w:rsidRPr="00F55AE1"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Efectivo y equivalentes de efectivo</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El efectivo y sus equivalentes están representados principalmente por depósitos bancarios en cuentas de cheques e inversiones diarias de excedentes de efectivo con disponibilidad inmediata. Se valúan a su valor nominal y los rendimientos que se generan se reconocen conforme son notificados por el banco. </w:t>
      </w:r>
    </w:p>
    <w:p w:rsidR="0078268A" w:rsidRPr="00F55AE1"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Estimación para cuentas de cobro dudoso</w:t>
      </w:r>
    </w:p>
    <w:p w:rsidR="0078268A"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La Compañía tiene la política de establecer una estimación de cuentas de cobro dudoso para cubrir los saldos de las cuentas por cobrar con una antigüedad mayor a 365 días, y en adición por aquellas de mayor antigüedad por las cuales se inició un proceso legal para su recuperación.</w:t>
      </w:r>
    </w:p>
    <w:p w:rsidR="0044183E" w:rsidRPr="00F55AE1" w:rsidRDefault="0044183E" w:rsidP="0078268A">
      <w:pPr>
        <w:spacing w:before="120" w:after="120" w:line="240" w:lineRule="exact"/>
        <w:jc w:val="both"/>
        <w:rPr>
          <w:rFonts w:ascii="Arial" w:eastAsia="Calibri" w:hAnsi="Arial" w:cs="Arial"/>
          <w:spacing w:val="-1"/>
          <w:sz w:val="17"/>
          <w:szCs w:val="17"/>
        </w:rPr>
      </w:pPr>
    </w:p>
    <w:p w:rsidR="0078268A" w:rsidRPr="00F55AE1"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Pagos anticipados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lastRenderedPageBreak/>
        <w:t>Los pagos anticipados se reconocen por el monto pagado en el momento en que este se realiza, siempre y cuando se estime que el beneficio económico futuro asociado fluya hacia la Compañía. Una vez que el bien o servicio es recibido, la Compañía reconoce el importe relativo a los pagos anticipados como un activo o gasto del periodo, dependiendo sí se tiene o no la certeza de que el bien adquirido le generará un beneficio económico futuro.</w:t>
      </w:r>
    </w:p>
    <w:p w:rsidR="0078268A" w:rsidRPr="00F55AE1" w:rsidRDefault="0078268A" w:rsidP="0078268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w:t>
      </w:r>
      <w:r w:rsidRPr="00F55AE1">
        <w:rPr>
          <w:rFonts w:ascii="Arial" w:eastAsia="Calibri" w:hAnsi="Arial" w:cs="Arial"/>
          <w:spacing w:val="-1"/>
          <w:sz w:val="17"/>
          <w:szCs w:val="17"/>
        </w:rPr>
        <w:t>a Compañía evalúa periódicamente la capacidad de que los pagos anticipados pierdan su capacidad para generar beneficios económicos futuros, así como la recuperabilidad de los mismos, el importe que se considera como no recuperable se reconoce como una pérdida por deterioro en el resultado del periodo.</w:t>
      </w:r>
    </w:p>
    <w:p w:rsidR="0078268A" w:rsidRPr="00A74CB0"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A74CB0">
        <w:rPr>
          <w:rFonts w:ascii="Arial" w:eastAsia="Calibri" w:hAnsi="Arial" w:cs="Arial"/>
          <w:spacing w:val="-1"/>
          <w:sz w:val="17"/>
          <w:szCs w:val="17"/>
        </w:rPr>
        <w:t>Pasivos, provisiones, pasivos contingentes y compromisos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Los pasivos por provisiones se reconocen cuando (i) existe una obligación presente (legal o asumida) como resultado de un evento pasado, (ii) es probable que se requiera la salida de recursos económicos como medio para liquidar dicha obligación, y (iii) la obligación puede ser estimada razonablemente. </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Las provisiones por pasivos contingentes se reconocen solamente cuando es probable la salida de recursos para su extinción. Asimismo, los compromisos solamente se reconocen cuando generan una pérdida.</w:t>
      </w:r>
    </w:p>
    <w:p w:rsidR="0078268A" w:rsidRPr="00A74CB0"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A74CB0">
        <w:rPr>
          <w:rFonts w:ascii="Arial" w:eastAsia="Calibri" w:hAnsi="Arial" w:cs="Arial"/>
          <w:spacing w:val="-1"/>
          <w:sz w:val="17"/>
          <w:szCs w:val="17"/>
        </w:rPr>
        <w:t>Reserva para el plan de pensiones, primas de antigüedad beneficios por terminación y otros beneficios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Se tiene la política de otorgar pensiones de retiro mediante planes de pensiones definidos que cubren a todos los empleados. Las pensiones se determinan con base en las compensaciones de los empleados en su último año de trabajo, los años de antigüedad en la Compañía y su edad al momento del retiro. </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Las primas de antigüedad que se cubren al personal se determinan con base en lo establecido en la Ley Federal del Trabajo (LFT). Asimismo, la LFT establece la obligación de hacer ciertos pagos al personal que deje de prestar sus servicios en ciertas circunstancias. </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Los costos de pensiones, primas de antigüedad y beneficios por terminación, se reconocen anualmente con base en cálculos efectuados por actuarios independientes, mediante el método de crédito unitario proyectado utilizando hipótesis financieras en términos nominales. La última valuación actuarial se efectuó en el mes de </w:t>
      </w:r>
      <w:r w:rsidR="0044183E">
        <w:rPr>
          <w:rFonts w:ascii="Arial" w:eastAsia="Calibri" w:hAnsi="Arial" w:cs="Arial"/>
          <w:spacing w:val="-1"/>
          <w:sz w:val="17"/>
          <w:szCs w:val="17"/>
        </w:rPr>
        <w:t>diciembre 2016</w:t>
      </w:r>
      <w:r w:rsidRPr="00F55AE1">
        <w:rPr>
          <w:rFonts w:ascii="Arial" w:eastAsia="Calibri" w:hAnsi="Arial" w:cs="Arial"/>
          <w:spacing w:val="-1"/>
          <w:sz w:val="17"/>
          <w:szCs w:val="17"/>
        </w:rPr>
        <w:t>.</w:t>
      </w:r>
    </w:p>
    <w:p w:rsidR="0078268A" w:rsidRPr="00A74CB0"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A74CB0">
        <w:rPr>
          <w:rFonts w:ascii="Arial" w:eastAsia="Calibri" w:hAnsi="Arial" w:cs="Arial"/>
          <w:spacing w:val="-1"/>
          <w:sz w:val="17"/>
          <w:szCs w:val="17"/>
        </w:rPr>
        <w:t>Participación de los trabajadores en las utilidades (PTU)</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Los gastos por PTU se presentan dentro del rubro de servicios personales en el estado de actividades.</w:t>
      </w:r>
    </w:p>
    <w:p w:rsidR="0078268A" w:rsidRPr="00A74CB0"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A74CB0">
        <w:rPr>
          <w:rFonts w:ascii="Arial" w:eastAsia="Calibri" w:hAnsi="Arial" w:cs="Arial"/>
          <w:spacing w:val="-1"/>
          <w:sz w:val="17"/>
          <w:szCs w:val="17"/>
        </w:rPr>
        <w:t>Fluctuaciones cambiarias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Las transacciones en moneda extranjera se registran al tipo de cambio aplicable a la fecha de su celebración. Los activos y pasivos en moneda extranjera se valúan al tipo de cambio de la fecha del estado de situación financiera, publicado en el Diario oficial de la federación. </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Las diferencias cambiarias entre la fecha de celebración y las de su cobro o pago, así como las derivadas de la conversión de los saldos denominados en moneda extranjera a la fecha de los estados financieros, se aplican a resultados</w:t>
      </w:r>
    </w:p>
    <w:p w:rsidR="0078268A" w:rsidRPr="00A74CB0" w:rsidRDefault="0078268A" w:rsidP="00846F07">
      <w:pPr>
        <w:pStyle w:val="Prrafodelista"/>
        <w:numPr>
          <w:ilvl w:val="1"/>
          <w:numId w:val="11"/>
        </w:numPr>
        <w:spacing w:before="120" w:after="120" w:line="240" w:lineRule="exact"/>
        <w:jc w:val="both"/>
        <w:rPr>
          <w:rFonts w:ascii="Arial" w:eastAsia="Calibri" w:hAnsi="Arial" w:cs="Arial"/>
          <w:spacing w:val="-1"/>
          <w:sz w:val="17"/>
          <w:szCs w:val="17"/>
        </w:rPr>
      </w:pPr>
      <w:r w:rsidRPr="00A74CB0">
        <w:rPr>
          <w:rFonts w:ascii="Arial" w:eastAsia="Calibri" w:hAnsi="Arial" w:cs="Arial"/>
          <w:spacing w:val="-1"/>
          <w:sz w:val="17"/>
          <w:szCs w:val="17"/>
        </w:rPr>
        <w:t>Impuestos a la utilidad</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Impuestos a la utilidad del periodo</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El impuesto a la utilidad causado en el año se presenta como un pasivo a corto plazo neto de los anticipos efectuados durante el mismo.</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Impuestos a la utilidad diferidos</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 xml:space="preserve">La Compañía determina los impuestos a la utilidad diferidos con base en el método de activos y pasivos. Bajo este método, se determinan todas las diferencias que existen entre los valores contables y fiscales, a las cuales se les aplica la tasa del impuesto sobre la renta (ISR), vigente a la fecha del balance general, o bien, aquella tasa promulgada y </w:t>
      </w:r>
      <w:r w:rsidRPr="00F55AE1">
        <w:rPr>
          <w:rFonts w:ascii="Arial" w:eastAsia="Calibri" w:hAnsi="Arial" w:cs="Arial"/>
          <w:spacing w:val="-1"/>
          <w:sz w:val="17"/>
          <w:szCs w:val="17"/>
        </w:rPr>
        <w:lastRenderedPageBreak/>
        <w:t xml:space="preserve">establecida en las disposiciones fiscales a esa fecha y que estará vigente al momento en que se estima que los activos y pasivos por impuestos diferidos se recuperarán o liquidarán, respectivamente. </w:t>
      </w:r>
    </w:p>
    <w:p w:rsidR="00F86BAE"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Los activos por impuestos a la utilidad diferidos se evalúan periódicamente creando, en su caso, una estimación sobre aquellos montos por los que no existe una alta probabilidad de recuperación.</w:t>
      </w:r>
    </w:p>
    <w:p w:rsidR="00A67440" w:rsidRPr="00A67440"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846F07">
      <w:pPr>
        <w:pStyle w:val="Prrafodelista"/>
        <w:numPr>
          <w:ilvl w:val="1"/>
          <w:numId w:val="16"/>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846F07">
      <w:pPr>
        <w:pStyle w:val="Prrafodelista"/>
        <w:numPr>
          <w:ilvl w:val="1"/>
          <w:numId w:val="16"/>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846F07">
      <w:pPr>
        <w:pStyle w:val="Prrafodelista"/>
        <w:numPr>
          <w:ilvl w:val="1"/>
          <w:numId w:val="16"/>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A67440" w:rsidRPr="00A67440" w:rsidRDefault="00A67440" w:rsidP="00846F07">
      <w:pPr>
        <w:pStyle w:val="Prrafodelista"/>
        <w:numPr>
          <w:ilvl w:val="1"/>
          <w:numId w:val="16"/>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846F07">
      <w:pPr>
        <w:pStyle w:val="Prrafodelista"/>
        <w:numPr>
          <w:ilvl w:val="1"/>
          <w:numId w:val="16"/>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78268A" w:rsidRPr="00A74CB0" w:rsidRDefault="0078268A" w:rsidP="0078268A">
      <w:pPr>
        <w:spacing w:before="120" w:after="120" w:line="240" w:lineRule="exact"/>
        <w:jc w:val="both"/>
        <w:rPr>
          <w:rFonts w:ascii="Arial" w:eastAsia="Calibri" w:hAnsi="Arial" w:cs="Arial"/>
          <w:spacing w:val="-1"/>
          <w:sz w:val="17"/>
          <w:szCs w:val="17"/>
        </w:rPr>
      </w:pPr>
      <w:r w:rsidRPr="00A74CB0">
        <w:rPr>
          <w:rFonts w:ascii="Arial" w:eastAsia="Calibri" w:hAnsi="Arial" w:cs="Arial"/>
          <w:spacing w:val="-1"/>
          <w:sz w:val="17"/>
          <w:szCs w:val="17"/>
        </w:rPr>
        <w:t>Al 31 de diciembre de 201</w:t>
      </w:r>
      <w:r w:rsidR="0044183E">
        <w:rPr>
          <w:rFonts w:ascii="Arial" w:eastAsia="Calibri" w:hAnsi="Arial" w:cs="Arial"/>
          <w:spacing w:val="-1"/>
          <w:sz w:val="17"/>
          <w:szCs w:val="17"/>
        </w:rPr>
        <w:t>7</w:t>
      </w:r>
      <w:r w:rsidRPr="00A74CB0">
        <w:rPr>
          <w:rFonts w:ascii="Arial" w:eastAsia="Calibri" w:hAnsi="Arial" w:cs="Arial"/>
          <w:spacing w:val="-1"/>
          <w:sz w:val="17"/>
          <w:szCs w:val="17"/>
        </w:rPr>
        <w:t xml:space="preserve"> y 201</w:t>
      </w:r>
      <w:r w:rsidR="0044183E">
        <w:rPr>
          <w:rFonts w:ascii="Arial" w:eastAsia="Calibri" w:hAnsi="Arial" w:cs="Arial"/>
          <w:spacing w:val="-1"/>
          <w:sz w:val="17"/>
          <w:szCs w:val="17"/>
        </w:rPr>
        <w:t>6</w:t>
      </w:r>
      <w:r w:rsidRPr="00A74CB0">
        <w:rPr>
          <w:rFonts w:ascii="Arial" w:eastAsia="Calibri" w:hAnsi="Arial" w:cs="Arial"/>
          <w:spacing w:val="-1"/>
          <w:sz w:val="17"/>
          <w:szCs w:val="17"/>
        </w:rPr>
        <w:t xml:space="preserve"> los estados financieros incluyen derechos y obligaciones denominados en dólares (USD) de los Estados Unidos de América (EUA)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709"/>
        <w:gridCol w:w="1706"/>
        <w:gridCol w:w="1129"/>
      </w:tblGrid>
      <w:tr w:rsidR="0078268A" w:rsidTr="00A33F0D">
        <w:tc>
          <w:tcPr>
            <w:tcW w:w="2263" w:type="dxa"/>
          </w:tcPr>
          <w:p w:rsidR="0078268A" w:rsidRDefault="0078268A" w:rsidP="00A33F0D">
            <w:pPr>
              <w:spacing w:after="120" w:line="240" w:lineRule="exact"/>
              <w:jc w:val="both"/>
              <w:rPr>
                <w:rFonts w:ascii="Arial" w:eastAsia="Calibri" w:hAnsi="Arial" w:cs="Arial"/>
                <w:spacing w:val="-1"/>
                <w:sz w:val="17"/>
                <w:szCs w:val="17"/>
              </w:rPr>
            </w:pPr>
          </w:p>
        </w:tc>
        <w:tc>
          <w:tcPr>
            <w:tcW w:w="709" w:type="dxa"/>
          </w:tcPr>
          <w:p w:rsidR="0078268A" w:rsidRDefault="0078268A" w:rsidP="00A33F0D">
            <w:pPr>
              <w:spacing w:after="120" w:line="240" w:lineRule="exact"/>
              <w:jc w:val="both"/>
              <w:rPr>
                <w:rFonts w:ascii="Arial" w:eastAsia="Calibri" w:hAnsi="Arial" w:cs="Arial"/>
                <w:spacing w:val="-1"/>
                <w:sz w:val="17"/>
                <w:szCs w:val="17"/>
              </w:rPr>
            </w:pPr>
          </w:p>
        </w:tc>
        <w:tc>
          <w:tcPr>
            <w:tcW w:w="2835" w:type="dxa"/>
            <w:gridSpan w:val="2"/>
          </w:tcPr>
          <w:p w:rsidR="0078268A" w:rsidRDefault="0078268A" w:rsidP="00A33F0D">
            <w:pPr>
              <w:spacing w:after="120" w:line="240" w:lineRule="exact"/>
              <w:jc w:val="center"/>
              <w:rPr>
                <w:rFonts w:ascii="Arial" w:eastAsia="Calibri" w:hAnsi="Arial" w:cs="Arial"/>
                <w:spacing w:val="-1"/>
                <w:sz w:val="17"/>
                <w:szCs w:val="17"/>
              </w:rPr>
            </w:pPr>
            <w:r>
              <w:rPr>
                <w:rFonts w:ascii="Arial" w:eastAsia="Calibri" w:hAnsi="Arial" w:cs="Arial"/>
                <w:spacing w:val="-1"/>
                <w:sz w:val="17"/>
                <w:szCs w:val="17"/>
              </w:rPr>
              <w:t>Cifras en dólares</w:t>
            </w:r>
          </w:p>
        </w:tc>
      </w:tr>
      <w:tr w:rsidR="0044183E" w:rsidTr="00A33F0D">
        <w:tc>
          <w:tcPr>
            <w:tcW w:w="2263" w:type="dxa"/>
          </w:tcPr>
          <w:p w:rsidR="0044183E" w:rsidRDefault="0044183E" w:rsidP="0044183E">
            <w:pPr>
              <w:spacing w:after="120" w:line="240" w:lineRule="exact"/>
              <w:jc w:val="both"/>
              <w:rPr>
                <w:rFonts w:ascii="Arial" w:eastAsia="Calibri" w:hAnsi="Arial" w:cs="Arial"/>
                <w:spacing w:val="-1"/>
                <w:sz w:val="17"/>
                <w:szCs w:val="17"/>
              </w:rPr>
            </w:pPr>
          </w:p>
        </w:tc>
        <w:tc>
          <w:tcPr>
            <w:tcW w:w="709" w:type="dxa"/>
          </w:tcPr>
          <w:p w:rsidR="0044183E" w:rsidRDefault="0044183E" w:rsidP="0044183E">
            <w:pPr>
              <w:spacing w:after="120" w:line="240" w:lineRule="exact"/>
              <w:jc w:val="both"/>
              <w:rPr>
                <w:rFonts w:ascii="Arial" w:eastAsia="Calibri" w:hAnsi="Arial" w:cs="Arial"/>
                <w:spacing w:val="-1"/>
                <w:sz w:val="17"/>
                <w:szCs w:val="17"/>
              </w:rPr>
            </w:pPr>
          </w:p>
        </w:tc>
        <w:tc>
          <w:tcPr>
            <w:tcW w:w="1706" w:type="dxa"/>
            <w:tcBorders>
              <w:bottom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Pr>
                <w:rFonts w:ascii="Arial" w:eastAsia="Calibri" w:hAnsi="Arial" w:cs="Arial"/>
                <w:b/>
                <w:spacing w:val="-1"/>
                <w:sz w:val="17"/>
                <w:szCs w:val="17"/>
              </w:rPr>
              <w:t>2017</w:t>
            </w:r>
          </w:p>
        </w:tc>
        <w:tc>
          <w:tcPr>
            <w:tcW w:w="1129" w:type="dxa"/>
            <w:tcBorders>
              <w:bottom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sidRPr="00A74CB0">
              <w:rPr>
                <w:rFonts w:ascii="Arial" w:eastAsia="Calibri" w:hAnsi="Arial" w:cs="Arial"/>
                <w:b/>
                <w:spacing w:val="-1"/>
                <w:sz w:val="17"/>
                <w:szCs w:val="17"/>
              </w:rPr>
              <w:t>2016</w:t>
            </w:r>
          </w:p>
        </w:tc>
      </w:tr>
      <w:tr w:rsidR="0044183E" w:rsidTr="00A33F0D">
        <w:tc>
          <w:tcPr>
            <w:tcW w:w="2263" w:type="dxa"/>
          </w:tcPr>
          <w:p w:rsidR="0044183E" w:rsidRPr="00A74CB0" w:rsidRDefault="0044183E" w:rsidP="0044183E">
            <w:pPr>
              <w:spacing w:after="120" w:line="240" w:lineRule="exact"/>
              <w:jc w:val="both"/>
              <w:rPr>
                <w:rFonts w:ascii="Arial" w:eastAsia="Calibri" w:hAnsi="Arial" w:cs="Arial"/>
                <w:b/>
                <w:spacing w:val="-1"/>
                <w:sz w:val="17"/>
                <w:szCs w:val="17"/>
              </w:rPr>
            </w:pPr>
            <w:r w:rsidRPr="00A74CB0">
              <w:rPr>
                <w:rFonts w:ascii="Arial" w:eastAsia="Calibri" w:hAnsi="Arial" w:cs="Arial"/>
                <w:b/>
                <w:spacing w:val="-1"/>
                <w:sz w:val="17"/>
                <w:szCs w:val="17"/>
              </w:rPr>
              <w:t>Pasivo circulante:</w:t>
            </w:r>
          </w:p>
        </w:tc>
        <w:tc>
          <w:tcPr>
            <w:tcW w:w="709" w:type="dxa"/>
          </w:tcPr>
          <w:p w:rsidR="0044183E" w:rsidRDefault="0044183E" w:rsidP="0044183E">
            <w:pPr>
              <w:spacing w:after="120" w:line="240" w:lineRule="exact"/>
              <w:jc w:val="both"/>
              <w:rPr>
                <w:rFonts w:ascii="Arial" w:eastAsia="Calibri" w:hAnsi="Arial" w:cs="Arial"/>
                <w:spacing w:val="-1"/>
                <w:sz w:val="17"/>
                <w:szCs w:val="17"/>
              </w:rPr>
            </w:pPr>
          </w:p>
        </w:tc>
        <w:tc>
          <w:tcPr>
            <w:tcW w:w="1706" w:type="dxa"/>
            <w:tcBorders>
              <w:top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p>
        </w:tc>
        <w:tc>
          <w:tcPr>
            <w:tcW w:w="1129" w:type="dxa"/>
            <w:tcBorders>
              <w:top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p>
        </w:tc>
      </w:tr>
      <w:tr w:rsidR="0044183E" w:rsidTr="00A33F0D">
        <w:tc>
          <w:tcPr>
            <w:tcW w:w="2263" w:type="dxa"/>
          </w:tcPr>
          <w:p w:rsidR="0044183E" w:rsidRDefault="0044183E" w:rsidP="0044183E">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Proveedores</w:t>
            </w:r>
          </w:p>
        </w:tc>
        <w:tc>
          <w:tcPr>
            <w:tcW w:w="709" w:type="dxa"/>
          </w:tcPr>
          <w:p w:rsidR="0044183E" w:rsidRDefault="0044183E" w:rsidP="0044183E">
            <w:pPr>
              <w:spacing w:after="120" w:line="240" w:lineRule="exact"/>
              <w:jc w:val="both"/>
              <w:rPr>
                <w:rFonts w:ascii="Arial" w:eastAsia="Calibri" w:hAnsi="Arial" w:cs="Arial"/>
                <w:spacing w:val="-1"/>
                <w:sz w:val="17"/>
                <w:szCs w:val="17"/>
              </w:rPr>
            </w:pPr>
          </w:p>
        </w:tc>
        <w:tc>
          <w:tcPr>
            <w:tcW w:w="1706" w:type="dxa"/>
            <w:tcBorders>
              <w:bottom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Pr>
                <w:rFonts w:ascii="Arial" w:eastAsia="Calibri" w:hAnsi="Arial" w:cs="Arial"/>
                <w:b/>
                <w:spacing w:val="-1"/>
                <w:sz w:val="17"/>
                <w:szCs w:val="17"/>
              </w:rPr>
              <w:t>0</w:t>
            </w:r>
          </w:p>
        </w:tc>
        <w:tc>
          <w:tcPr>
            <w:tcW w:w="1129" w:type="dxa"/>
            <w:tcBorders>
              <w:bottom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sidRPr="00A74CB0">
              <w:rPr>
                <w:rFonts w:ascii="Arial" w:eastAsia="Calibri" w:hAnsi="Arial" w:cs="Arial"/>
                <w:b/>
                <w:spacing w:val="-1"/>
                <w:sz w:val="17"/>
                <w:szCs w:val="17"/>
              </w:rPr>
              <w:t>3,558</w:t>
            </w:r>
          </w:p>
        </w:tc>
      </w:tr>
      <w:tr w:rsidR="0044183E" w:rsidTr="00A33F0D">
        <w:tc>
          <w:tcPr>
            <w:tcW w:w="2263" w:type="dxa"/>
          </w:tcPr>
          <w:p w:rsidR="0044183E" w:rsidRDefault="0044183E" w:rsidP="0044183E">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Total</w:t>
            </w:r>
          </w:p>
        </w:tc>
        <w:tc>
          <w:tcPr>
            <w:tcW w:w="709" w:type="dxa"/>
          </w:tcPr>
          <w:p w:rsidR="0044183E" w:rsidRPr="00A74CB0" w:rsidRDefault="0044183E" w:rsidP="0044183E">
            <w:pPr>
              <w:spacing w:after="120" w:line="240" w:lineRule="exact"/>
              <w:jc w:val="both"/>
              <w:rPr>
                <w:rFonts w:ascii="Arial" w:eastAsia="Calibri" w:hAnsi="Arial" w:cs="Arial"/>
                <w:b/>
                <w:spacing w:val="-1"/>
                <w:sz w:val="17"/>
                <w:szCs w:val="17"/>
              </w:rPr>
            </w:pPr>
            <w:r w:rsidRPr="00A74CB0">
              <w:rPr>
                <w:rFonts w:ascii="Arial" w:eastAsia="Calibri" w:hAnsi="Arial" w:cs="Arial"/>
                <w:b/>
                <w:spacing w:val="-1"/>
                <w:sz w:val="17"/>
                <w:szCs w:val="17"/>
              </w:rPr>
              <w:t>USD</w:t>
            </w:r>
          </w:p>
        </w:tc>
        <w:tc>
          <w:tcPr>
            <w:tcW w:w="1706" w:type="dxa"/>
            <w:tcBorders>
              <w:top w:val="single" w:sz="4" w:space="0" w:color="auto"/>
              <w:bottom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Pr>
                <w:rFonts w:ascii="Arial" w:eastAsia="Calibri" w:hAnsi="Arial" w:cs="Arial"/>
                <w:b/>
                <w:spacing w:val="-1"/>
                <w:sz w:val="17"/>
                <w:szCs w:val="17"/>
              </w:rPr>
              <w:t>0</w:t>
            </w:r>
          </w:p>
        </w:tc>
        <w:tc>
          <w:tcPr>
            <w:tcW w:w="1129" w:type="dxa"/>
            <w:tcBorders>
              <w:top w:val="single" w:sz="4" w:space="0" w:color="auto"/>
              <w:bottom w:val="sing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sidRPr="00A74CB0">
              <w:rPr>
                <w:rFonts w:ascii="Arial" w:eastAsia="Calibri" w:hAnsi="Arial" w:cs="Arial"/>
                <w:b/>
                <w:spacing w:val="-1"/>
                <w:sz w:val="17"/>
                <w:szCs w:val="17"/>
              </w:rPr>
              <w:t>3,558</w:t>
            </w:r>
          </w:p>
        </w:tc>
      </w:tr>
      <w:tr w:rsidR="0044183E" w:rsidTr="00A33F0D">
        <w:tc>
          <w:tcPr>
            <w:tcW w:w="2263" w:type="dxa"/>
          </w:tcPr>
          <w:p w:rsidR="0044183E" w:rsidRDefault="0044183E" w:rsidP="0044183E">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Posición monetaria pasiva</w:t>
            </w:r>
          </w:p>
        </w:tc>
        <w:tc>
          <w:tcPr>
            <w:tcW w:w="709" w:type="dxa"/>
          </w:tcPr>
          <w:p w:rsidR="0044183E" w:rsidRPr="00A74CB0" w:rsidRDefault="0044183E" w:rsidP="0044183E">
            <w:pPr>
              <w:spacing w:after="120" w:line="240" w:lineRule="exact"/>
              <w:jc w:val="both"/>
              <w:rPr>
                <w:rFonts w:ascii="Arial" w:eastAsia="Calibri" w:hAnsi="Arial" w:cs="Arial"/>
                <w:b/>
                <w:spacing w:val="-1"/>
                <w:sz w:val="17"/>
                <w:szCs w:val="17"/>
              </w:rPr>
            </w:pPr>
            <w:r w:rsidRPr="00A74CB0">
              <w:rPr>
                <w:rFonts w:ascii="Arial" w:eastAsia="Calibri" w:hAnsi="Arial" w:cs="Arial"/>
                <w:b/>
                <w:spacing w:val="-1"/>
                <w:sz w:val="17"/>
                <w:szCs w:val="17"/>
              </w:rPr>
              <w:t>USD</w:t>
            </w:r>
          </w:p>
        </w:tc>
        <w:tc>
          <w:tcPr>
            <w:tcW w:w="1706" w:type="dxa"/>
            <w:tcBorders>
              <w:top w:val="single" w:sz="4" w:space="0" w:color="auto"/>
              <w:bottom w:val="doub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Pr>
                <w:rFonts w:ascii="Arial" w:eastAsia="Calibri" w:hAnsi="Arial" w:cs="Arial"/>
                <w:b/>
                <w:spacing w:val="-1"/>
                <w:sz w:val="17"/>
                <w:szCs w:val="17"/>
              </w:rPr>
              <w:t>(0</w:t>
            </w:r>
            <w:r w:rsidRPr="00A74CB0">
              <w:rPr>
                <w:rFonts w:ascii="Arial" w:eastAsia="Calibri" w:hAnsi="Arial" w:cs="Arial"/>
                <w:b/>
                <w:spacing w:val="-1"/>
                <w:sz w:val="17"/>
                <w:szCs w:val="17"/>
              </w:rPr>
              <w:t>)</w:t>
            </w:r>
          </w:p>
        </w:tc>
        <w:tc>
          <w:tcPr>
            <w:tcW w:w="1129" w:type="dxa"/>
            <w:tcBorders>
              <w:top w:val="single" w:sz="4" w:space="0" w:color="auto"/>
              <w:bottom w:val="double" w:sz="4" w:space="0" w:color="auto"/>
            </w:tcBorders>
          </w:tcPr>
          <w:p w:rsidR="0044183E" w:rsidRPr="00A74CB0" w:rsidRDefault="0044183E" w:rsidP="0044183E">
            <w:pPr>
              <w:spacing w:after="120" w:line="240" w:lineRule="exact"/>
              <w:jc w:val="center"/>
              <w:rPr>
                <w:rFonts w:ascii="Arial" w:eastAsia="Calibri" w:hAnsi="Arial" w:cs="Arial"/>
                <w:b/>
                <w:spacing w:val="-1"/>
                <w:sz w:val="17"/>
                <w:szCs w:val="17"/>
              </w:rPr>
            </w:pPr>
            <w:r w:rsidRPr="00A74CB0">
              <w:rPr>
                <w:rFonts w:ascii="Arial" w:eastAsia="Calibri" w:hAnsi="Arial" w:cs="Arial"/>
                <w:b/>
                <w:spacing w:val="-1"/>
                <w:sz w:val="17"/>
                <w:szCs w:val="17"/>
              </w:rPr>
              <w:t>(3,558)</w:t>
            </w:r>
          </w:p>
        </w:tc>
      </w:tr>
    </w:tbl>
    <w:p w:rsidR="0078268A" w:rsidRPr="00A74CB0" w:rsidRDefault="0078268A" w:rsidP="0078268A">
      <w:pPr>
        <w:spacing w:before="120" w:after="120" w:line="240" w:lineRule="exact"/>
        <w:jc w:val="both"/>
        <w:rPr>
          <w:rFonts w:ascii="Arial" w:eastAsia="Calibri" w:hAnsi="Arial" w:cs="Arial"/>
          <w:spacing w:val="-1"/>
          <w:sz w:val="17"/>
          <w:szCs w:val="17"/>
        </w:rPr>
      </w:pPr>
    </w:p>
    <w:p w:rsidR="00A67440" w:rsidRDefault="0044183E" w:rsidP="0078268A">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w:t>
      </w:r>
      <w:r w:rsidR="0078268A" w:rsidRPr="00A74CB0">
        <w:rPr>
          <w:rFonts w:ascii="Arial" w:eastAsia="Calibri" w:hAnsi="Arial" w:cs="Arial"/>
          <w:spacing w:val="-1"/>
          <w:sz w:val="17"/>
          <w:szCs w:val="17"/>
        </w:rPr>
        <w:t xml:space="preserve"> tipo de cambio utilizado para convertir </w:t>
      </w:r>
      <w:r>
        <w:rPr>
          <w:rFonts w:ascii="Arial" w:eastAsia="Calibri" w:hAnsi="Arial" w:cs="Arial"/>
          <w:spacing w:val="-1"/>
          <w:sz w:val="17"/>
          <w:szCs w:val="17"/>
        </w:rPr>
        <w:t>el i</w:t>
      </w:r>
      <w:r w:rsidR="0078268A" w:rsidRPr="00A74CB0">
        <w:rPr>
          <w:rFonts w:ascii="Arial" w:eastAsia="Calibri" w:hAnsi="Arial" w:cs="Arial"/>
          <w:spacing w:val="-1"/>
          <w:sz w:val="17"/>
          <w:szCs w:val="17"/>
        </w:rPr>
        <w:t>mportes anterior a moneda nacional fue</w:t>
      </w:r>
      <w:r>
        <w:rPr>
          <w:rFonts w:ascii="Arial" w:eastAsia="Calibri" w:hAnsi="Arial" w:cs="Arial"/>
          <w:spacing w:val="-1"/>
          <w:sz w:val="17"/>
          <w:szCs w:val="17"/>
        </w:rPr>
        <w:t xml:space="preserve"> de</w:t>
      </w:r>
      <w:r w:rsidR="0078268A" w:rsidRPr="00A74CB0">
        <w:rPr>
          <w:rFonts w:ascii="Arial" w:eastAsia="Calibri" w:hAnsi="Arial" w:cs="Arial"/>
          <w:spacing w:val="-1"/>
          <w:sz w:val="17"/>
          <w:szCs w:val="17"/>
        </w:rPr>
        <w:t xml:space="preserve"> $ 20.6640 por dólar de los EUA al 31 de diciembre de 2016</w:t>
      </w:r>
      <w:r>
        <w:rPr>
          <w:rFonts w:ascii="Arial" w:eastAsia="Calibri" w:hAnsi="Arial" w:cs="Arial"/>
          <w:spacing w:val="-1"/>
          <w:sz w:val="17"/>
          <w:szCs w:val="17"/>
        </w:rPr>
        <w:t>.</w:t>
      </w:r>
      <w:r w:rsidR="0078268A" w:rsidRPr="00A74CB0">
        <w:rPr>
          <w:rFonts w:ascii="Arial" w:eastAsia="Calibri" w:hAnsi="Arial" w:cs="Arial"/>
          <w:spacing w:val="-1"/>
          <w:sz w:val="17"/>
          <w:szCs w:val="17"/>
        </w:rPr>
        <w:t xml:space="preserve"> </w:t>
      </w:r>
    </w:p>
    <w:p w:rsidR="00F86BAE" w:rsidRDefault="00F86BAE" w:rsidP="0078268A">
      <w:pPr>
        <w:spacing w:before="120" w:after="120" w:line="240" w:lineRule="exact"/>
        <w:jc w:val="both"/>
        <w:rPr>
          <w:rFonts w:ascii="Arial" w:eastAsia="Calibri" w:hAnsi="Arial" w:cs="Arial"/>
          <w:spacing w:val="-1"/>
          <w:sz w:val="17"/>
          <w:szCs w:val="17"/>
        </w:rPr>
      </w:pPr>
    </w:p>
    <w:p w:rsidR="00A67440" w:rsidRPr="0010523D"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Importe de los gastos capitalizados en el ejercicio, tanto financieros como de investigación y desarrollo.</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846F07">
      <w:pPr>
        <w:pStyle w:val="Prrafodelista"/>
        <w:numPr>
          <w:ilvl w:val="1"/>
          <w:numId w:val="17"/>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846F07">
      <w:pPr>
        <w:pStyle w:val="Prrafodelista"/>
        <w:numPr>
          <w:ilvl w:val="1"/>
          <w:numId w:val="18"/>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846F07">
      <w:pPr>
        <w:pStyle w:val="Prrafodelista"/>
        <w:numPr>
          <w:ilvl w:val="1"/>
          <w:numId w:val="18"/>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846F07">
      <w:pPr>
        <w:pStyle w:val="Prrafodelista"/>
        <w:numPr>
          <w:ilvl w:val="1"/>
          <w:numId w:val="18"/>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846F07">
      <w:pPr>
        <w:pStyle w:val="Prrafodelista"/>
        <w:numPr>
          <w:ilvl w:val="1"/>
          <w:numId w:val="18"/>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Pr="0010523D" w:rsidRDefault="00A67440" w:rsidP="00846F07">
      <w:pPr>
        <w:pStyle w:val="Prrafodelista"/>
        <w:numPr>
          <w:ilvl w:val="1"/>
          <w:numId w:val="18"/>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78268A" w:rsidRPr="00F55AE1" w:rsidRDefault="0078268A" w:rsidP="0078268A">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 xml:space="preserve">El Aeropuerto Intercontinental de Querétaro, </w:t>
      </w:r>
      <w:r w:rsidRPr="00F55AE1">
        <w:rPr>
          <w:rFonts w:ascii="Arial" w:eastAsia="Calibri" w:hAnsi="Arial" w:cs="Arial"/>
          <w:spacing w:val="-1"/>
          <w:sz w:val="17"/>
          <w:szCs w:val="17"/>
        </w:rPr>
        <w:t>reconoce como adquisiciones de mobiliario y equipo aquellas cuyo valor exceda a 35 salarios mínimos vigentes del área geográfica de la Ciudad de México, en apego a la LGCG. Las adquisiciones directas se reconocen como gasto por inversión y a su vez se reconocen en el rubro del activo incrementando el patrimonio.</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El valor de adquisición de los bienes inmuebles y muebles, incluye los costos que se han incurrido inicialmente para ser adquiridos o construidos, así como los incurridos posteriormente para reemplazarlos o incrementar su servicio potencial. Si una partida de bienes inmuebles y muebles se integra de diversos componentes con diferentes vidas útiles estimadas, los componentes individuales importantes se deprecian durante sus vidas útiles individuales. Los costos de reparación y mantenimiento se reconocen en el estado de actividades a medida que se incurren.</w:t>
      </w:r>
    </w:p>
    <w:p w:rsidR="00F86BAE"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La depreciación de los bienes inmuebles y muebles se determina sobre el valor de los bienes inmuebles y muebles, utilizando el método de línea recta (al ser considerado por la administración de la Compañía que dicho método es el que mejor refleja el uso de dichos activos) y con base en su vida útil estimada como sigue:</w:t>
      </w:r>
    </w:p>
    <w:tbl>
      <w:tblPr>
        <w:tblStyle w:val="Tablaconcuadrcula"/>
        <w:tblW w:w="0" w:type="auto"/>
        <w:tblLook w:val="04A0"/>
      </w:tblPr>
      <w:tblGrid>
        <w:gridCol w:w="2972"/>
        <w:gridCol w:w="2410"/>
        <w:gridCol w:w="1984"/>
      </w:tblGrid>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Concepto</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Porcentaje de depreciación</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Vida útil en años</w:t>
            </w:r>
          </w:p>
        </w:tc>
      </w:tr>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Equipo de transporte</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25%</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4</w:t>
            </w:r>
          </w:p>
        </w:tc>
      </w:tr>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Maquinaria y equipo</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10%</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10</w:t>
            </w:r>
          </w:p>
        </w:tc>
      </w:tr>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Mobiliario y equipo de oficina</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10%</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10</w:t>
            </w:r>
          </w:p>
        </w:tc>
      </w:tr>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Equipo de computo</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30%</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3</w:t>
            </w:r>
          </w:p>
        </w:tc>
      </w:tr>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Mobiliario y equipo educacional</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10%</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10</w:t>
            </w:r>
          </w:p>
        </w:tc>
      </w:tr>
      <w:tr w:rsidR="0078268A" w:rsidTr="00A33F0D">
        <w:tc>
          <w:tcPr>
            <w:tcW w:w="2972"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Mejoras en bienes arrendados</w:t>
            </w:r>
          </w:p>
        </w:tc>
        <w:tc>
          <w:tcPr>
            <w:tcW w:w="2410"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5%</w:t>
            </w:r>
          </w:p>
        </w:tc>
        <w:tc>
          <w:tcPr>
            <w:tcW w:w="1984" w:type="dxa"/>
          </w:tcPr>
          <w:p w:rsidR="0078268A" w:rsidRDefault="0078268A" w:rsidP="00A33F0D">
            <w:pPr>
              <w:spacing w:after="120" w:line="240" w:lineRule="exact"/>
              <w:jc w:val="both"/>
              <w:rPr>
                <w:rFonts w:ascii="Arial" w:eastAsia="Calibri" w:hAnsi="Arial" w:cs="Arial"/>
                <w:spacing w:val="-1"/>
                <w:sz w:val="17"/>
                <w:szCs w:val="17"/>
              </w:rPr>
            </w:pPr>
            <w:r>
              <w:rPr>
                <w:rFonts w:ascii="Arial" w:eastAsia="Calibri" w:hAnsi="Arial" w:cs="Arial"/>
                <w:spacing w:val="-1"/>
                <w:sz w:val="17"/>
                <w:szCs w:val="17"/>
              </w:rPr>
              <w:t>20</w:t>
            </w:r>
          </w:p>
        </w:tc>
      </w:tr>
    </w:tbl>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lastRenderedPageBreak/>
        <w:t>Los bienes inmuebles y muebles se dan de baja al momento de su venta o cuando no se espera obtener beneficios económicos futuros por su uso o venta. Cualquier ganancia o pérdida en el momento de dar de baja el activo (calculada como la diferencia entre el ingreso neto procedente de la venta del activo y su importe en libros), se incluye en el estado de actividades cuando se da de baja el activo.</w:t>
      </w:r>
    </w:p>
    <w:p w:rsidR="0078268A" w:rsidRPr="00F55AE1" w:rsidRDefault="0078268A" w:rsidP="0078268A">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El valor de los bienes inmuebles y muebles se revisa cuando existen indicios de deterioro en el valor de dichos activos. Cuando el valor de recuperación, que es el mayor entre el precio de venta y su valor de uso (el cual es valor presente de los flujos de efectivo futuros), es inferior el valor neto en libros, la diferencia se reconoce como una pérdida por deterioro.</w:t>
      </w:r>
    </w:p>
    <w:p w:rsidR="0078268A" w:rsidRDefault="0078268A" w:rsidP="00A67440">
      <w:pPr>
        <w:spacing w:before="120" w:after="120" w:line="240" w:lineRule="exact"/>
        <w:jc w:val="both"/>
        <w:rPr>
          <w:rFonts w:ascii="Arial" w:eastAsia="Calibri" w:hAnsi="Arial" w:cs="Arial"/>
          <w:spacing w:val="-1"/>
          <w:sz w:val="17"/>
          <w:szCs w:val="17"/>
        </w:rPr>
      </w:pPr>
      <w:r w:rsidRPr="00F55AE1">
        <w:rPr>
          <w:rFonts w:ascii="Arial" w:eastAsia="Calibri" w:hAnsi="Arial" w:cs="Arial"/>
          <w:spacing w:val="-1"/>
          <w:sz w:val="17"/>
          <w:szCs w:val="17"/>
        </w:rPr>
        <w:t>Durante el año terminado el 31 de diciembre de 201</w:t>
      </w:r>
      <w:r w:rsidR="0044183E">
        <w:rPr>
          <w:rFonts w:ascii="Arial" w:eastAsia="Calibri" w:hAnsi="Arial" w:cs="Arial"/>
          <w:spacing w:val="-1"/>
          <w:sz w:val="17"/>
          <w:szCs w:val="17"/>
        </w:rPr>
        <w:t>7</w:t>
      </w:r>
      <w:r w:rsidRPr="00F55AE1">
        <w:rPr>
          <w:rFonts w:ascii="Arial" w:eastAsia="Calibri" w:hAnsi="Arial" w:cs="Arial"/>
          <w:spacing w:val="-1"/>
          <w:sz w:val="17"/>
          <w:szCs w:val="17"/>
        </w:rPr>
        <w:t>, no existen indicios de deterioro.</w:t>
      </w:r>
    </w:p>
    <w:p w:rsidR="00A67440" w:rsidRPr="0010523D"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846F07">
      <w:pPr>
        <w:pStyle w:val="Prrafodelista"/>
        <w:numPr>
          <w:ilvl w:val="1"/>
          <w:numId w:val="19"/>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846F07">
      <w:pPr>
        <w:pStyle w:val="Prrafodelista"/>
        <w:numPr>
          <w:ilvl w:val="1"/>
          <w:numId w:val="19"/>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Default="00F86BAE" w:rsidP="00F86BAE">
      <w:pPr>
        <w:spacing w:before="120" w:after="120" w:line="240" w:lineRule="exact"/>
        <w:ind w:firstLine="360"/>
        <w:jc w:val="both"/>
        <w:rPr>
          <w:rFonts w:ascii="Arial" w:eastAsia="Calibri" w:hAnsi="Arial" w:cs="Arial"/>
          <w:spacing w:val="-1"/>
          <w:sz w:val="17"/>
          <w:szCs w:val="17"/>
        </w:rPr>
      </w:pPr>
      <w:r>
        <w:rPr>
          <w:rFonts w:ascii="Arial" w:eastAsia="Calibri" w:hAnsi="Arial" w:cs="Arial"/>
          <w:spacing w:val="-1"/>
          <w:sz w:val="17"/>
          <w:szCs w:val="17"/>
        </w:rPr>
        <w:t>Al 31 de diciembre de 201</w:t>
      </w:r>
      <w:r w:rsidR="00D73EFA">
        <w:rPr>
          <w:rFonts w:ascii="Arial" w:eastAsia="Calibri" w:hAnsi="Arial" w:cs="Arial"/>
          <w:spacing w:val="-1"/>
          <w:sz w:val="17"/>
          <w:szCs w:val="17"/>
        </w:rPr>
        <w:t>7</w:t>
      </w:r>
      <w:r>
        <w:rPr>
          <w:rFonts w:ascii="Arial" w:eastAsia="Calibri" w:hAnsi="Arial" w:cs="Arial"/>
          <w:spacing w:val="-1"/>
          <w:sz w:val="17"/>
          <w:szCs w:val="17"/>
        </w:rPr>
        <w:t xml:space="preserve"> el Aeropuerto Intercontinental de Querétaro no recibió recursos provenientes de fideicomisos, mandatos y análogos y de igual manera tampoco participa de manera directa o indirecta en este tipo de cuentas.</w:t>
      </w:r>
    </w:p>
    <w:p w:rsidR="00F86BAE" w:rsidRDefault="00F86BAE" w:rsidP="00F86BAE">
      <w:pPr>
        <w:spacing w:before="120" w:after="120" w:line="240" w:lineRule="exact"/>
        <w:ind w:firstLine="360"/>
        <w:jc w:val="both"/>
        <w:rPr>
          <w:rFonts w:ascii="Arial" w:eastAsia="Calibri" w:hAnsi="Arial" w:cs="Arial"/>
          <w:spacing w:val="-1"/>
          <w:sz w:val="17"/>
          <w:szCs w:val="17"/>
        </w:rPr>
      </w:pPr>
    </w:p>
    <w:p w:rsidR="00A67440" w:rsidRPr="0010523D"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846F07">
      <w:pPr>
        <w:pStyle w:val="Prrafodelista"/>
        <w:numPr>
          <w:ilvl w:val="1"/>
          <w:numId w:val="2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Pr="0010523D" w:rsidRDefault="00A67440" w:rsidP="00846F07">
      <w:pPr>
        <w:pStyle w:val="Prrafodelista"/>
        <w:numPr>
          <w:ilvl w:val="1"/>
          <w:numId w:val="2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846F07">
      <w:pPr>
        <w:pStyle w:val="Prrafodelista"/>
        <w:numPr>
          <w:ilvl w:val="1"/>
          <w:numId w:val="2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846F07">
      <w:pPr>
        <w:pStyle w:val="Prrafodelista"/>
        <w:numPr>
          <w:ilvl w:val="1"/>
          <w:numId w:val="2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10523D" w:rsidRDefault="0010523D" w:rsidP="00A67440">
      <w:pPr>
        <w:spacing w:before="120" w:after="120" w:line="240" w:lineRule="exact"/>
        <w:jc w:val="both"/>
        <w:rPr>
          <w:rFonts w:ascii="Arial" w:eastAsia="Calibri" w:hAnsi="Arial" w:cs="Arial"/>
          <w:spacing w:val="-1"/>
          <w:sz w:val="17"/>
          <w:szCs w:val="17"/>
        </w:rPr>
      </w:pPr>
    </w:p>
    <w:p w:rsidR="00F86BAE" w:rsidRDefault="00F86BAE" w:rsidP="00A67440">
      <w:pPr>
        <w:spacing w:before="120" w:after="120" w:line="240" w:lineRule="exact"/>
        <w:jc w:val="both"/>
        <w:rPr>
          <w:rFonts w:ascii="Arial" w:eastAsia="Calibri" w:hAnsi="Arial" w:cs="Arial"/>
          <w:spacing w:val="-1"/>
          <w:sz w:val="17"/>
          <w:szCs w:val="17"/>
        </w:rPr>
      </w:pPr>
    </w:p>
    <w:p w:rsidR="00A67440" w:rsidRPr="0010523D"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Los saldos con partes relacionadas al 31 de diciembre de 2016 y 2015 se integran como sigue:</w:t>
      </w:r>
    </w:p>
    <w:tbl>
      <w:tblPr>
        <w:tblStyle w:val="Tablaconcuadrcula"/>
        <w:tblW w:w="0" w:type="auto"/>
        <w:tblLook w:val="04A0"/>
      </w:tblPr>
      <w:tblGrid>
        <w:gridCol w:w="3681"/>
        <w:gridCol w:w="1843"/>
        <w:gridCol w:w="1134"/>
      </w:tblGrid>
      <w:tr w:rsidR="00D73EFA" w:rsidTr="00713E52">
        <w:tc>
          <w:tcPr>
            <w:tcW w:w="3681" w:type="dxa"/>
          </w:tcPr>
          <w:p w:rsidR="00D73EFA" w:rsidRPr="005F2205" w:rsidRDefault="00D73EFA" w:rsidP="00D73EFA">
            <w:pPr>
              <w:spacing w:after="120" w:line="240" w:lineRule="exact"/>
              <w:contextualSpacing/>
              <w:jc w:val="both"/>
              <w:rPr>
                <w:rFonts w:ascii="Arial" w:eastAsia="Calibri" w:hAnsi="Arial" w:cs="Arial"/>
                <w:b/>
                <w:spacing w:val="-1"/>
                <w:sz w:val="17"/>
                <w:szCs w:val="17"/>
              </w:rPr>
            </w:pPr>
          </w:p>
        </w:tc>
        <w:tc>
          <w:tcPr>
            <w:tcW w:w="1843" w:type="dxa"/>
          </w:tcPr>
          <w:p w:rsidR="00D73EFA" w:rsidRPr="005F2205" w:rsidRDefault="00D73EFA" w:rsidP="00D73EFA">
            <w:pPr>
              <w:spacing w:after="120" w:line="240" w:lineRule="exact"/>
              <w:contextualSpacing/>
              <w:jc w:val="center"/>
              <w:rPr>
                <w:rFonts w:ascii="Arial" w:eastAsia="Calibri" w:hAnsi="Arial" w:cs="Arial"/>
                <w:b/>
                <w:spacing w:val="-1"/>
                <w:sz w:val="17"/>
                <w:szCs w:val="17"/>
              </w:rPr>
            </w:pPr>
            <w:r>
              <w:rPr>
                <w:rFonts w:ascii="Arial" w:eastAsia="Calibri" w:hAnsi="Arial" w:cs="Arial"/>
                <w:b/>
                <w:spacing w:val="-1"/>
                <w:sz w:val="17"/>
                <w:szCs w:val="17"/>
              </w:rPr>
              <w:t>2017</w:t>
            </w:r>
          </w:p>
        </w:tc>
        <w:tc>
          <w:tcPr>
            <w:tcW w:w="1134" w:type="dxa"/>
          </w:tcPr>
          <w:p w:rsidR="00D73EFA" w:rsidRPr="005F2205" w:rsidRDefault="00D73EFA" w:rsidP="00D73EFA">
            <w:pPr>
              <w:spacing w:after="120" w:line="240" w:lineRule="exact"/>
              <w:contextualSpacing/>
              <w:jc w:val="center"/>
              <w:rPr>
                <w:rFonts w:ascii="Arial" w:eastAsia="Calibri" w:hAnsi="Arial" w:cs="Arial"/>
                <w:b/>
                <w:spacing w:val="-1"/>
                <w:sz w:val="17"/>
                <w:szCs w:val="17"/>
              </w:rPr>
            </w:pPr>
            <w:r w:rsidRPr="005F2205">
              <w:rPr>
                <w:rFonts w:ascii="Arial" w:eastAsia="Calibri" w:hAnsi="Arial" w:cs="Arial"/>
                <w:b/>
                <w:spacing w:val="-1"/>
                <w:sz w:val="17"/>
                <w:szCs w:val="17"/>
              </w:rPr>
              <w:t>2016</w:t>
            </w:r>
          </w:p>
        </w:tc>
      </w:tr>
      <w:tr w:rsidR="00D73EFA" w:rsidTr="00713E52">
        <w:tc>
          <w:tcPr>
            <w:tcW w:w="3681" w:type="dxa"/>
          </w:tcPr>
          <w:p w:rsidR="00D73EFA" w:rsidRPr="005F2205" w:rsidRDefault="00D73EFA" w:rsidP="00D73EFA">
            <w:pPr>
              <w:spacing w:after="120" w:line="240" w:lineRule="exact"/>
              <w:contextualSpacing/>
              <w:jc w:val="both"/>
              <w:rPr>
                <w:rFonts w:ascii="Arial" w:eastAsia="Calibri" w:hAnsi="Arial" w:cs="Arial"/>
                <w:b/>
                <w:spacing w:val="-1"/>
                <w:sz w:val="17"/>
                <w:szCs w:val="17"/>
              </w:rPr>
            </w:pPr>
            <w:r w:rsidRPr="005F2205">
              <w:rPr>
                <w:rFonts w:ascii="Arial" w:eastAsia="Calibri" w:hAnsi="Arial" w:cs="Arial"/>
                <w:b/>
                <w:spacing w:val="-1"/>
                <w:sz w:val="17"/>
                <w:szCs w:val="17"/>
              </w:rPr>
              <w:t>Por pagar:</w:t>
            </w:r>
          </w:p>
        </w:tc>
        <w:tc>
          <w:tcPr>
            <w:tcW w:w="1843" w:type="dxa"/>
          </w:tcPr>
          <w:p w:rsidR="00D73EFA" w:rsidRPr="005F2205" w:rsidRDefault="00D73EFA" w:rsidP="00D73EFA">
            <w:pPr>
              <w:spacing w:after="120" w:line="240" w:lineRule="exact"/>
              <w:contextualSpacing/>
              <w:jc w:val="both"/>
              <w:rPr>
                <w:rFonts w:ascii="Arial" w:eastAsia="Calibri" w:hAnsi="Arial" w:cs="Arial"/>
                <w:b/>
                <w:spacing w:val="-1"/>
                <w:sz w:val="17"/>
                <w:szCs w:val="17"/>
              </w:rPr>
            </w:pPr>
          </w:p>
        </w:tc>
        <w:tc>
          <w:tcPr>
            <w:tcW w:w="1134" w:type="dxa"/>
          </w:tcPr>
          <w:p w:rsidR="00D73EFA" w:rsidRPr="005F2205" w:rsidRDefault="00D73EFA" w:rsidP="00D73EFA">
            <w:pPr>
              <w:spacing w:after="120" w:line="240" w:lineRule="exact"/>
              <w:contextualSpacing/>
              <w:jc w:val="both"/>
              <w:rPr>
                <w:rFonts w:ascii="Arial" w:eastAsia="Calibri" w:hAnsi="Arial" w:cs="Arial"/>
                <w:b/>
                <w:spacing w:val="-1"/>
                <w:sz w:val="17"/>
                <w:szCs w:val="17"/>
              </w:rPr>
            </w:pPr>
          </w:p>
        </w:tc>
      </w:tr>
      <w:tr w:rsidR="00D73EFA" w:rsidTr="00713E52">
        <w:tc>
          <w:tcPr>
            <w:tcW w:w="3681" w:type="dxa"/>
          </w:tcPr>
          <w:p w:rsidR="00D73EFA" w:rsidRDefault="00D73EFA" w:rsidP="00D73EFA">
            <w:pPr>
              <w:spacing w:after="120" w:line="240" w:lineRule="exact"/>
              <w:contextualSpacing/>
              <w:jc w:val="both"/>
              <w:rPr>
                <w:rFonts w:ascii="Arial" w:eastAsia="Calibri" w:hAnsi="Arial" w:cs="Arial"/>
                <w:spacing w:val="-1"/>
                <w:sz w:val="17"/>
                <w:szCs w:val="17"/>
              </w:rPr>
            </w:pPr>
            <w:r w:rsidRPr="005F2205">
              <w:rPr>
                <w:rFonts w:ascii="Arial" w:eastAsia="Calibri" w:hAnsi="Arial" w:cs="Arial"/>
                <w:spacing w:val="-1"/>
                <w:sz w:val="17"/>
                <w:szCs w:val="17"/>
              </w:rPr>
              <w:t>Gobierno del Estado de Querétaro</w:t>
            </w:r>
          </w:p>
        </w:tc>
        <w:tc>
          <w:tcPr>
            <w:tcW w:w="1843" w:type="dxa"/>
          </w:tcPr>
          <w:p w:rsidR="00D73EFA" w:rsidRPr="005F2205" w:rsidRDefault="00D73EFA" w:rsidP="00D73EFA">
            <w:pPr>
              <w:spacing w:after="120" w:line="240" w:lineRule="exact"/>
              <w:contextualSpacing/>
              <w:jc w:val="right"/>
              <w:rPr>
                <w:rFonts w:ascii="Arial" w:eastAsia="Calibri" w:hAnsi="Arial" w:cs="Arial"/>
                <w:b/>
                <w:spacing w:val="-1"/>
                <w:sz w:val="17"/>
                <w:szCs w:val="17"/>
              </w:rPr>
            </w:pPr>
            <w:r w:rsidRPr="005F2205">
              <w:rPr>
                <w:rFonts w:ascii="Arial" w:eastAsia="Calibri" w:hAnsi="Arial" w:cs="Arial"/>
                <w:b/>
                <w:spacing w:val="-1"/>
                <w:sz w:val="17"/>
                <w:szCs w:val="17"/>
              </w:rPr>
              <w:t xml:space="preserve">$   </w:t>
            </w:r>
            <w:r>
              <w:rPr>
                <w:rFonts w:ascii="Arial" w:eastAsia="Calibri" w:hAnsi="Arial" w:cs="Arial"/>
                <w:b/>
                <w:spacing w:val="-1"/>
                <w:sz w:val="17"/>
                <w:szCs w:val="17"/>
              </w:rPr>
              <w:t xml:space="preserve"> </w:t>
            </w:r>
            <w:r w:rsidRPr="005F2205">
              <w:rPr>
                <w:rFonts w:ascii="Arial" w:eastAsia="Calibri" w:hAnsi="Arial" w:cs="Arial"/>
                <w:b/>
                <w:spacing w:val="-1"/>
                <w:sz w:val="17"/>
                <w:szCs w:val="17"/>
              </w:rPr>
              <w:t xml:space="preserve">      -</w:t>
            </w:r>
          </w:p>
        </w:tc>
        <w:tc>
          <w:tcPr>
            <w:tcW w:w="1134" w:type="dxa"/>
          </w:tcPr>
          <w:p w:rsidR="00D73EFA" w:rsidRPr="005F2205" w:rsidRDefault="00D73EFA" w:rsidP="00D73EFA">
            <w:pPr>
              <w:spacing w:after="120" w:line="240" w:lineRule="exact"/>
              <w:contextualSpacing/>
              <w:jc w:val="right"/>
              <w:rPr>
                <w:rFonts w:ascii="Arial" w:eastAsia="Calibri" w:hAnsi="Arial" w:cs="Arial"/>
                <w:b/>
                <w:spacing w:val="-1"/>
                <w:sz w:val="17"/>
                <w:szCs w:val="17"/>
              </w:rPr>
            </w:pPr>
            <w:r w:rsidRPr="005F2205">
              <w:rPr>
                <w:rFonts w:ascii="Arial" w:eastAsia="Calibri" w:hAnsi="Arial" w:cs="Arial"/>
                <w:b/>
                <w:spacing w:val="-1"/>
                <w:sz w:val="17"/>
                <w:szCs w:val="17"/>
              </w:rPr>
              <w:t xml:space="preserve">$   </w:t>
            </w:r>
            <w:r>
              <w:rPr>
                <w:rFonts w:ascii="Arial" w:eastAsia="Calibri" w:hAnsi="Arial" w:cs="Arial"/>
                <w:b/>
                <w:spacing w:val="-1"/>
                <w:sz w:val="17"/>
                <w:szCs w:val="17"/>
              </w:rPr>
              <w:t xml:space="preserve"> </w:t>
            </w:r>
            <w:r w:rsidRPr="005F2205">
              <w:rPr>
                <w:rFonts w:ascii="Arial" w:eastAsia="Calibri" w:hAnsi="Arial" w:cs="Arial"/>
                <w:b/>
                <w:spacing w:val="-1"/>
                <w:sz w:val="17"/>
                <w:szCs w:val="17"/>
              </w:rPr>
              <w:t xml:space="preserve">      -</w:t>
            </w:r>
          </w:p>
        </w:tc>
      </w:tr>
      <w:tr w:rsidR="00D73EFA" w:rsidTr="00713E52">
        <w:tc>
          <w:tcPr>
            <w:tcW w:w="3681" w:type="dxa"/>
          </w:tcPr>
          <w:p w:rsidR="00D73EFA" w:rsidRDefault="00D73EFA" w:rsidP="00D73EFA">
            <w:pPr>
              <w:spacing w:after="120" w:line="240" w:lineRule="exact"/>
              <w:contextualSpacing/>
              <w:jc w:val="both"/>
              <w:rPr>
                <w:rFonts w:ascii="Arial" w:eastAsia="Calibri" w:hAnsi="Arial" w:cs="Arial"/>
                <w:spacing w:val="-1"/>
                <w:sz w:val="17"/>
                <w:szCs w:val="17"/>
              </w:rPr>
            </w:pPr>
            <w:r w:rsidRPr="005F2205">
              <w:rPr>
                <w:rFonts w:ascii="Arial" w:eastAsia="Calibri" w:hAnsi="Arial" w:cs="Arial"/>
                <w:spacing w:val="-1"/>
                <w:sz w:val="17"/>
                <w:szCs w:val="17"/>
              </w:rPr>
              <w:t>Aeropuertos y Servicios Auxiliares</w:t>
            </w:r>
          </w:p>
        </w:tc>
        <w:tc>
          <w:tcPr>
            <w:tcW w:w="1843" w:type="dxa"/>
          </w:tcPr>
          <w:p w:rsidR="00D73EFA" w:rsidRPr="005F2205" w:rsidRDefault="00D73EFA" w:rsidP="00D73EFA">
            <w:pPr>
              <w:spacing w:after="120" w:line="240" w:lineRule="exact"/>
              <w:contextualSpacing/>
              <w:jc w:val="right"/>
              <w:rPr>
                <w:rFonts w:ascii="Arial" w:eastAsia="Calibri" w:hAnsi="Arial" w:cs="Arial"/>
                <w:b/>
                <w:spacing w:val="-1"/>
                <w:sz w:val="17"/>
                <w:szCs w:val="17"/>
              </w:rPr>
            </w:pPr>
            <w:r>
              <w:rPr>
                <w:rFonts w:ascii="Arial" w:eastAsia="Calibri" w:hAnsi="Arial" w:cs="Arial"/>
                <w:b/>
                <w:spacing w:val="-1"/>
                <w:sz w:val="17"/>
                <w:szCs w:val="17"/>
              </w:rPr>
              <w:t xml:space="preserve">       0</w:t>
            </w:r>
          </w:p>
        </w:tc>
        <w:tc>
          <w:tcPr>
            <w:tcW w:w="1134" w:type="dxa"/>
          </w:tcPr>
          <w:p w:rsidR="00D73EFA" w:rsidRPr="005F2205" w:rsidRDefault="00D73EFA" w:rsidP="00D73EFA">
            <w:pPr>
              <w:spacing w:after="120" w:line="240" w:lineRule="exact"/>
              <w:contextualSpacing/>
              <w:jc w:val="right"/>
              <w:rPr>
                <w:rFonts w:ascii="Arial" w:eastAsia="Calibri" w:hAnsi="Arial" w:cs="Arial"/>
                <w:b/>
                <w:spacing w:val="-1"/>
                <w:sz w:val="17"/>
                <w:szCs w:val="17"/>
              </w:rPr>
            </w:pPr>
            <w:r w:rsidRPr="005F2205">
              <w:rPr>
                <w:rFonts w:ascii="Arial" w:eastAsia="Calibri" w:hAnsi="Arial" w:cs="Arial"/>
                <w:b/>
                <w:spacing w:val="-1"/>
                <w:sz w:val="17"/>
                <w:szCs w:val="17"/>
              </w:rPr>
              <w:t xml:space="preserve">       49</w:t>
            </w:r>
          </w:p>
        </w:tc>
      </w:tr>
      <w:tr w:rsidR="00D73EFA" w:rsidTr="00713E52">
        <w:tc>
          <w:tcPr>
            <w:tcW w:w="3681" w:type="dxa"/>
          </w:tcPr>
          <w:p w:rsidR="00D73EFA" w:rsidRDefault="00D73EFA" w:rsidP="00D73EFA">
            <w:pPr>
              <w:spacing w:after="120" w:line="240" w:lineRule="exact"/>
              <w:contextualSpacing/>
              <w:jc w:val="both"/>
              <w:rPr>
                <w:rFonts w:ascii="Arial" w:eastAsia="Calibri" w:hAnsi="Arial" w:cs="Arial"/>
                <w:spacing w:val="-1"/>
                <w:sz w:val="17"/>
                <w:szCs w:val="17"/>
              </w:rPr>
            </w:pPr>
          </w:p>
        </w:tc>
        <w:tc>
          <w:tcPr>
            <w:tcW w:w="1843" w:type="dxa"/>
          </w:tcPr>
          <w:p w:rsidR="00D73EFA" w:rsidRPr="005F2205" w:rsidRDefault="00D73EFA" w:rsidP="00D73EFA">
            <w:pPr>
              <w:spacing w:after="120" w:line="240" w:lineRule="exact"/>
              <w:contextualSpacing/>
              <w:jc w:val="right"/>
              <w:rPr>
                <w:rFonts w:ascii="Arial" w:eastAsia="Calibri" w:hAnsi="Arial" w:cs="Arial"/>
                <w:b/>
                <w:spacing w:val="-1"/>
                <w:sz w:val="17"/>
                <w:szCs w:val="17"/>
              </w:rPr>
            </w:pPr>
            <w:r>
              <w:rPr>
                <w:rFonts w:ascii="Arial" w:eastAsia="Calibri" w:hAnsi="Arial" w:cs="Arial"/>
                <w:b/>
                <w:spacing w:val="-1"/>
                <w:sz w:val="17"/>
                <w:szCs w:val="17"/>
              </w:rPr>
              <w:t>$       0</w:t>
            </w:r>
          </w:p>
        </w:tc>
        <w:tc>
          <w:tcPr>
            <w:tcW w:w="1134" w:type="dxa"/>
          </w:tcPr>
          <w:p w:rsidR="00D73EFA" w:rsidRPr="005F2205" w:rsidRDefault="00D73EFA" w:rsidP="00D73EFA">
            <w:pPr>
              <w:spacing w:after="120" w:line="240" w:lineRule="exact"/>
              <w:contextualSpacing/>
              <w:jc w:val="right"/>
              <w:rPr>
                <w:rFonts w:ascii="Arial" w:eastAsia="Calibri" w:hAnsi="Arial" w:cs="Arial"/>
                <w:b/>
                <w:spacing w:val="-1"/>
                <w:sz w:val="17"/>
                <w:szCs w:val="17"/>
              </w:rPr>
            </w:pPr>
            <w:r w:rsidRPr="005F2205">
              <w:rPr>
                <w:rFonts w:ascii="Arial" w:eastAsia="Calibri" w:hAnsi="Arial" w:cs="Arial"/>
                <w:b/>
                <w:spacing w:val="-1"/>
                <w:sz w:val="17"/>
                <w:szCs w:val="17"/>
              </w:rPr>
              <w:t>$       49</w:t>
            </w:r>
          </w:p>
        </w:tc>
      </w:tr>
    </w:tbl>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Se tienen celebrados los siguientes contratos con partes relacionadas:</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1. Con fecha 3 de septiembre de 2004 la compañía firmó un contrato de arrendamiento de bienes inmueble con el Gobierno del Estado de Querétaro, por un plazo de 15 años contados a partir de la fecha de la firma, mismo que está sujeto a renovación hasta en tres ocasiones. Dicho contrato sufrió adecuaciones derivado de la firma de “El Primer Convenio Modificatorio” el 23 de agosto de 2006 (clausulas tercera, quinta y séptima). Así mismo el 9 de septiembre de 2015 se firmó el “Segundo Convenio Modificatorio”, entre las principales modificaciones, se presenta la realizada a la cláusula cuarta (pago), para establecer una renta mensual de $ 61, 697, más el impuesto al valor agregado.</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2. El 26 de noviembre de 2004 celebran contrato con Administración y Servicios Auxiliares (en adelante ASA) y la compañía en donde suministraran los servicios de compra venta, abastecimiento y sucesión de combustible a concesionarios y permisionarios del servicio de transportación con las siguientes clausulas:</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lastRenderedPageBreak/>
        <w:t>-</w:t>
      </w:r>
      <w:r>
        <w:rPr>
          <w:rFonts w:ascii="Arial" w:eastAsia="Calibri" w:hAnsi="Arial" w:cs="Arial"/>
          <w:spacing w:val="-1"/>
          <w:sz w:val="17"/>
          <w:szCs w:val="17"/>
        </w:rPr>
        <w:t xml:space="preserve"> </w:t>
      </w:r>
      <w:r w:rsidRPr="005F2205">
        <w:rPr>
          <w:rFonts w:ascii="Arial" w:eastAsia="Calibri" w:hAnsi="Arial" w:cs="Arial"/>
          <w:spacing w:val="-1"/>
          <w:sz w:val="17"/>
          <w:szCs w:val="17"/>
        </w:rPr>
        <w:t xml:space="preserve">La compañía dará acceso a las instalaciones destinadas al almacenamiento y distribución de combustible de la compañía, así como el paso y tránsito por las instalaciones concesionadas del aeropuerto a todo el personal y vehículos autorizados por ASA. </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w:t>
      </w:r>
      <w:r>
        <w:rPr>
          <w:rFonts w:ascii="Arial" w:eastAsia="Calibri" w:hAnsi="Arial" w:cs="Arial"/>
          <w:spacing w:val="-1"/>
          <w:sz w:val="17"/>
          <w:szCs w:val="17"/>
        </w:rPr>
        <w:t xml:space="preserve"> </w:t>
      </w:r>
      <w:r w:rsidRPr="005F2205">
        <w:rPr>
          <w:rFonts w:ascii="Arial" w:eastAsia="Calibri" w:hAnsi="Arial" w:cs="Arial"/>
          <w:spacing w:val="-1"/>
          <w:sz w:val="17"/>
          <w:szCs w:val="17"/>
        </w:rPr>
        <w:t>Obligaciones que cumplirá ASA:</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 xml:space="preserve"> Por el paso a través de las instalaciones del Aeropuerto para prestar los servicios se obligará a pagar el 1% sobre el importe del servicio de abastecimiento de combustible cobrado con base a la tarifa de suministro o succión de combustible establecida por las autoridades convenientes. </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 xml:space="preserve"> Conservar las instalaciones de las áreas distribuidoras de combustible y bienes dedicados a la prestación de los servicios en buen estado. Además, dar mantenimiento a las instalaciones afín de que las mismas cumplan con estándares de operatividad, (El mantenimiento de los bienes afectos a la prestación de los servicios correrá por cuenta y cargo de ASA). Ambas partes determinaran mediante convenio escrito las obras de renovación y ampliación de las instalaciones señalando la parte responsable de ejecutar obras, así como los mecanismos para erogar los gastos correspondientes. </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 xml:space="preserve">Las instalaciones solo serán utilizadas para la prestación de los servicios </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 xml:space="preserve">Se realizarán visitas de inspección a las áreas de la prestación de los servicios por la compañía, afín de constatar que actúan conforme a las disposiciones aplicables en materia de seguridad y del uso normal de las instalaciones. </w:t>
      </w:r>
    </w:p>
    <w:p w:rsidR="005F2205" w:rsidRPr="005F2205" w:rsidRDefault="005F2205" w:rsidP="005F2205">
      <w:pPr>
        <w:spacing w:before="120" w:after="120" w:line="240" w:lineRule="exact"/>
        <w:jc w:val="both"/>
        <w:rPr>
          <w:rFonts w:ascii="Arial" w:eastAsia="Calibri" w:hAnsi="Arial" w:cs="Arial"/>
          <w:spacing w:val="-1"/>
          <w:sz w:val="17"/>
          <w:szCs w:val="17"/>
        </w:rPr>
      </w:pPr>
      <w:r w:rsidRPr="005F2205">
        <w:rPr>
          <w:rFonts w:ascii="Arial" w:eastAsia="Calibri" w:hAnsi="Arial" w:cs="Arial"/>
          <w:spacing w:val="-1"/>
          <w:sz w:val="17"/>
          <w:szCs w:val="17"/>
        </w:rPr>
        <w:t>El contrato tendrá una vigencia de 41 años.</w:t>
      </w:r>
    </w:p>
    <w:p w:rsidR="00A67440" w:rsidRPr="008053D2" w:rsidRDefault="00A67440" w:rsidP="00846F07">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F86BAE">
            <w:pPr>
              <w:jc w:val="center"/>
              <w:rPr>
                <w:rFonts w:ascii="Arial" w:hAnsi="Arial" w:cs="Arial"/>
                <w:color w:val="000000"/>
                <w:sz w:val="17"/>
                <w:szCs w:val="17"/>
              </w:rPr>
            </w:pPr>
            <w:r w:rsidRPr="006F6565">
              <w:rPr>
                <w:rFonts w:ascii="Arial" w:hAnsi="Arial" w:cs="Arial"/>
                <w:color w:val="000000"/>
                <w:sz w:val="17"/>
                <w:szCs w:val="17"/>
              </w:rPr>
              <w:t>C.P. Jesús Arredondo</w:t>
            </w:r>
            <w:r>
              <w:rPr>
                <w:rFonts w:ascii="Arial" w:hAnsi="Arial" w:cs="Arial"/>
                <w:color w:val="000000"/>
                <w:sz w:val="17"/>
                <w:szCs w:val="17"/>
              </w:rPr>
              <w:t xml:space="preserve"> Velázquez</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F86BAE">
            <w:pPr>
              <w:jc w:val="center"/>
              <w:rPr>
                <w:rFonts w:ascii="Arial" w:hAnsi="Arial" w:cs="Arial"/>
                <w:color w:val="000000"/>
                <w:sz w:val="17"/>
                <w:szCs w:val="17"/>
              </w:rPr>
            </w:pPr>
            <w:r>
              <w:rPr>
                <w:rFonts w:ascii="Arial" w:hAnsi="Arial" w:cs="Arial"/>
                <w:color w:val="000000"/>
                <w:sz w:val="17"/>
                <w:szCs w:val="17"/>
              </w:rPr>
              <w:t>Lic. Alejandra Espinosa Lámbarri</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F86BAE" w:rsidP="00C10BD9">
            <w:pPr>
              <w:jc w:val="center"/>
              <w:rPr>
                <w:rFonts w:ascii="Arial" w:hAnsi="Arial" w:cs="Arial"/>
                <w:sz w:val="17"/>
                <w:szCs w:val="17"/>
              </w:rPr>
            </w:pPr>
            <w:r>
              <w:rPr>
                <w:rFonts w:ascii="Arial" w:hAnsi="Arial" w:cs="Arial"/>
                <w:sz w:val="17"/>
                <w:szCs w:val="17"/>
              </w:rPr>
              <w:t>Director General</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F86BAE" w:rsidP="00FB4F9E">
            <w:pPr>
              <w:jc w:val="center"/>
              <w:rPr>
                <w:rFonts w:ascii="Arial" w:hAnsi="Arial" w:cs="Arial"/>
                <w:sz w:val="17"/>
                <w:szCs w:val="17"/>
              </w:rPr>
            </w:pPr>
            <w:r>
              <w:rPr>
                <w:rFonts w:ascii="Arial" w:hAnsi="Arial" w:cs="Arial"/>
                <w:sz w:val="17"/>
                <w:szCs w:val="17"/>
              </w:rPr>
              <w:t>Coordinadora Administrativa</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52" w:rsidRDefault="000C6B52">
      <w:r>
        <w:separator/>
      </w:r>
    </w:p>
  </w:endnote>
  <w:endnote w:type="continuationSeparator" w:id="0">
    <w:p w:rsidR="000C6B52" w:rsidRDefault="000C6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F" w:rsidRPr="00CF00D0" w:rsidRDefault="00111A83" w:rsidP="00813029">
    <w:pPr>
      <w:pStyle w:val="Textoindependiente3"/>
      <w:tabs>
        <w:tab w:val="right" w:pos="13288"/>
      </w:tabs>
      <w:rPr>
        <w:rFonts w:ascii="Avenir LT Std 45 Book" w:hAnsi="Avenir LT Std 45 Book" w:cs="Arial"/>
        <w:color w:val="808080"/>
        <w:szCs w:val="20"/>
      </w:rPr>
    </w:pPr>
    <w:r w:rsidRPr="00111A83">
      <w:rPr>
        <w:rFonts w:ascii="Avenir LT Std 45 Book" w:hAnsi="Avenir LT Std 45 Book" w:cs="Arial"/>
        <w:b/>
        <w:caps/>
        <w:noProof/>
        <w:color w:val="808080"/>
        <w:szCs w:val="20"/>
      </w:rPr>
      <w:pict>
        <v:rect id="Rectángulo 14" o:spid="_x0000_s4098" style="position:absolute;margin-left:0;margin-top:0;width:664.75pt;height:3.55pt;z-index:251672576;visibility:visible;mso-position-horizontal:left;mso-position-horizontal-relative:margin;mso-position-vertical:top;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w:r>
    <w:r w:rsidR="00644E1F" w:rsidRPr="00813029">
      <w:rPr>
        <w:rFonts w:ascii="Avenir LT Std 45 Book" w:hAnsi="Avenir LT Std 45 Book" w:cs="Arial"/>
        <w:color w:val="808080"/>
        <w:szCs w:val="20"/>
      </w:rPr>
      <w:t xml:space="preserve"> </w:t>
    </w:r>
    <w:r w:rsidR="00644E1F">
      <w:rPr>
        <w:rFonts w:ascii="Avenir LT Std 45 Book" w:hAnsi="Avenir LT Std 45 Book" w:cs="Arial"/>
        <w:color w:val="808080"/>
        <w:szCs w:val="20"/>
      </w:rPr>
      <w:t>NOTAS A LOS ESTADOS FINANCIEROS</w:t>
    </w:r>
    <w:r w:rsidR="00644E1F">
      <w:rPr>
        <w:rFonts w:ascii="Avenir LT Std 45 Book" w:hAnsi="Avenir LT Std 45 Book" w:cs="Arial"/>
        <w:color w:val="808080"/>
        <w:szCs w:val="20"/>
      </w:rPr>
      <w:tab/>
    </w:r>
    <w:r w:rsidR="00644E1F"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00644E1F"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D4214">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00644E1F" w:rsidRPr="00CF00D0">
      <w:rPr>
        <w:rFonts w:ascii="Avenir LT Std 45 Book" w:hAnsi="Avenir LT Std 45 Book" w:cs="Arial"/>
        <w:color w:val="808080"/>
        <w:szCs w:val="20"/>
      </w:rPr>
      <w:t xml:space="preserve"> de </w:t>
    </w:r>
    <w:fldSimple w:instr=" NUMPAGES   \* MERGEFORMAT ">
      <w:r w:rsidR="00BD4214">
        <w:rPr>
          <w:rFonts w:ascii="Avenir LT Std 45 Book" w:hAnsi="Avenir LT Std 45 Book" w:cs="Arial"/>
          <w:noProof/>
          <w:color w:val="808080"/>
          <w:szCs w:val="20"/>
        </w:rPr>
        <w:t>40</w:t>
      </w:r>
    </w:fldSimple>
  </w:p>
  <w:p w:rsidR="00644E1F" w:rsidRPr="00813029" w:rsidRDefault="00644E1F" w:rsidP="008130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F" w:rsidRPr="00CF00D0" w:rsidRDefault="00111A83" w:rsidP="00813029">
    <w:pPr>
      <w:pStyle w:val="Textoindependiente3"/>
      <w:tabs>
        <w:tab w:val="right" w:pos="13288"/>
      </w:tabs>
      <w:rPr>
        <w:rFonts w:ascii="Avenir LT Std 45 Book" w:hAnsi="Avenir LT Std 45 Book" w:cs="Arial"/>
        <w:color w:val="808080"/>
        <w:szCs w:val="20"/>
      </w:rPr>
    </w:pPr>
    <w:r w:rsidRPr="00111A83">
      <w:rPr>
        <w:rFonts w:ascii="Avenir LT Std 45 Book" w:hAnsi="Avenir LT Std 45 Book" w:cs="Arial"/>
        <w:b/>
        <w:caps/>
        <w:noProof/>
        <w:color w:val="808080"/>
        <w:szCs w:val="20"/>
      </w:rPr>
      <w:pict>
        <v:rect id="Rectángulo 6" o:spid="_x0000_s4097" style="position:absolute;margin-left:-.2pt;margin-top:568.4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w:r>
    <w:r w:rsidR="00644E1F">
      <w:rPr>
        <w:rFonts w:ascii="Avenir LT Std 45 Book" w:hAnsi="Avenir LT Std 45 Book" w:cs="Arial"/>
        <w:color w:val="808080"/>
        <w:szCs w:val="20"/>
      </w:rPr>
      <w:t>NOTAS A LOS ESTADOS FINANCIEROS</w:t>
    </w:r>
    <w:r w:rsidR="00644E1F">
      <w:rPr>
        <w:rFonts w:ascii="Avenir LT Std 45 Book" w:hAnsi="Avenir LT Std 45 Book" w:cs="Arial"/>
        <w:color w:val="808080"/>
        <w:szCs w:val="20"/>
      </w:rPr>
      <w:tab/>
    </w:r>
    <w:r w:rsidR="00644E1F"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00644E1F"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BD4214">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00644E1F" w:rsidRPr="00CF00D0">
      <w:rPr>
        <w:rFonts w:ascii="Avenir LT Std 45 Book" w:hAnsi="Avenir LT Std 45 Book" w:cs="Arial"/>
        <w:color w:val="808080"/>
        <w:szCs w:val="20"/>
      </w:rPr>
      <w:t xml:space="preserve"> de </w:t>
    </w:r>
    <w:fldSimple w:instr=" NUMPAGES   \* MERGEFORMAT ">
      <w:r w:rsidR="00BD4214">
        <w:rPr>
          <w:rFonts w:ascii="Avenir LT Std 45 Book" w:hAnsi="Avenir LT Std 45 Book" w:cs="Arial"/>
          <w:noProof/>
          <w:color w:val="808080"/>
          <w:szCs w:val="20"/>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52" w:rsidRDefault="000C6B52">
      <w:r>
        <w:separator/>
      </w:r>
    </w:p>
  </w:footnote>
  <w:footnote w:type="continuationSeparator" w:id="0">
    <w:p w:rsidR="000C6B52" w:rsidRDefault="000C6B52">
      <w:r>
        <w:continuationSeparator/>
      </w:r>
    </w:p>
  </w:footnote>
  <w:footnote w:id="1">
    <w:p w:rsidR="00644E1F" w:rsidRPr="000008C2" w:rsidRDefault="00644E1F" w:rsidP="00644E1F">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F" w:rsidRPr="002809DB" w:rsidRDefault="00111A83" w:rsidP="00627A77">
    <w:pPr>
      <w:rPr>
        <w:rFonts w:ascii="Soberana Sans Light" w:hAnsi="Soberana Sans Light"/>
        <w:b/>
        <w:sz w:val="20"/>
        <w:szCs w:val="20"/>
      </w:rPr>
    </w:pPr>
    <w:r w:rsidRPr="00111A83">
      <w:rPr>
        <w:noProof/>
      </w:rPr>
      <w:pict>
        <v:shapetype id="_x0000_t202" coordsize="21600,21600" o:spt="202" path="m,l,21600r21600,l21600,xe">
          <v:stroke joinstyle="miter"/>
          <v:path gradientshapeok="t" o:connecttype="rect"/>
        </v:shapetype>
        <v:shape id="Cuadro de texto 5" o:spid="_x0000_s4102" type="#_x0000_t202" style="position:absolute;margin-left:214.4pt;margin-top:-33.55pt;width:152.8pt;height:31.35pt;z-index:25167769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SxhwIAABY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" stroked="f">
          <v:textbox>
            <w:txbxContent>
              <w:p w:rsidR="003A78D7" w:rsidRPr="00CF00D0" w:rsidRDefault="003A78D7" w:rsidP="003A78D7">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3A78D7" w:rsidRPr="00CF00D0" w:rsidRDefault="003A78D7" w:rsidP="003A78D7">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w10:wrap anchorx="margin"/>
        </v:shape>
      </w:pict>
    </w:r>
    <w:r w:rsidR="003A78D7">
      <w:rPr>
        <w:noProof/>
      </w:rPr>
      <w:drawing>
        <wp:anchor distT="0" distB="0" distL="114300" distR="114300" simplePos="0" relativeHeight="251675648" behindDoc="1" locked="0" layoutInCell="1" allowOverlap="1">
          <wp:simplePos x="0" y="0"/>
          <wp:positionH relativeFrom="margin">
            <wp:posOffset>3810</wp:posOffset>
          </wp:positionH>
          <wp:positionV relativeFrom="paragraph">
            <wp:posOffset>-368935</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4005" cy="581660"/>
                  </a:xfrm>
                  <a:prstGeom prst="rect">
                    <a:avLst/>
                  </a:prstGeom>
                </pic:spPr>
              </pic:pic>
            </a:graphicData>
          </a:graphic>
        </wp:anchor>
      </w:drawing>
    </w:r>
    <w:r w:rsidRPr="00111A83">
      <w:rPr>
        <w:noProof/>
      </w:rPr>
      <w:pict>
        <v:shape id="_x0000_s4101" type="#_x0000_t202" style="position:absolute;margin-left:214.4pt;margin-top:-7.4pt;width:152.8pt;height:26.4pt;z-index:25166950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lkigIAAB4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" stroked="f">
          <v:textbox>
            <w:txbxContent>
              <w:p w:rsidR="00644E1F" w:rsidRPr="00CF00D0" w:rsidRDefault="00644E1F"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w:r>
    <w:r w:rsidR="00644E1F">
      <w:rPr>
        <w:noProof/>
      </w:rPr>
      <w:drawing>
        <wp:anchor distT="0" distB="0" distL="114300" distR="114300" simplePos="0" relativeHeight="251673600" behindDoc="1" locked="0" layoutInCell="1" allowOverlap="1">
          <wp:simplePos x="0" y="0"/>
          <wp:positionH relativeFrom="margin">
            <wp:posOffset>0</wp:posOffset>
          </wp:positionH>
          <wp:positionV relativeFrom="paragraph">
            <wp:posOffset>-368462</wp:posOffset>
          </wp:positionV>
          <wp:extent cx="695814" cy="612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AIQ 2016.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5814" cy="612000"/>
                  </a:xfrm>
                  <a:prstGeom prst="rect">
                    <a:avLst/>
                  </a:prstGeom>
                </pic:spPr>
              </pic:pic>
            </a:graphicData>
          </a:graphic>
        </wp:anchor>
      </w:drawing>
    </w:r>
    <w:r w:rsidRPr="00111A83">
      <w:rPr>
        <w:rFonts w:ascii="Arial" w:hAnsi="Arial" w:cs="Arial"/>
        <w:b/>
        <w:caps/>
        <w:noProof/>
        <w:color w:val="808080"/>
        <w:sz w:val="20"/>
        <w:szCs w:val="20"/>
      </w:rPr>
      <w:pict>
        <v:rect id="Rectángulo 9" o:spid="_x0000_s4100" style="position:absolute;margin-left:0;margin-top:21.15pt;width:664.8pt;height:3.6pt;z-index:251665408;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1F" w:rsidRPr="00CF00D0" w:rsidRDefault="00644E1F"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AEROPUERTO INTERCONTINENTAL DE QUERETARO, S.A. DE C.V.</w:t>
    </w:r>
    <w:r w:rsidR="00111A83" w:rsidRPr="00111A83">
      <w:rPr>
        <w:rFonts w:ascii="Avenir LT Std 45 Book" w:hAnsi="Avenir LT Std 45 Book" w:cs="Arial"/>
        <w:b/>
        <w:caps/>
        <w:noProof/>
        <w:color w:val="808080"/>
        <w:sz w:val="20"/>
        <w:szCs w:val="20"/>
      </w:rPr>
      <w:pict>
        <v:rect id="Rectángulo 5" o:spid="_x0000_s4099" style="position:absolute;left:0;text-align:left;margin-left:-1.5pt;margin-top:16.2pt;width:664.8pt;height:3.6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2A8"/>
    <w:multiLevelType w:val="hybridMultilevel"/>
    <w:tmpl w:val="5CBE54B2"/>
    <w:lvl w:ilvl="0" w:tplc="FCEA4D7C">
      <w:start w:val="6"/>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9538B1"/>
    <w:multiLevelType w:val="hybridMultilevel"/>
    <w:tmpl w:val="EB8C19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011F64"/>
    <w:multiLevelType w:val="hybridMultilevel"/>
    <w:tmpl w:val="0CEAF2C8"/>
    <w:lvl w:ilvl="0" w:tplc="8B26C954">
      <w:start w:val="4"/>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7112A0"/>
    <w:multiLevelType w:val="hybridMultilevel"/>
    <w:tmpl w:val="8B409E92"/>
    <w:lvl w:ilvl="0" w:tplc="55B2DE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2C4B00"/>
    <w:multiLevelType w:val="hybridMultilevel"/>
    <w:tmpl w:val="4128F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DC7E46"/>
    <w:multiLevelType w:val="hybridMultilevel"/>
    <w:tmpl w:val="9E942010"/>
    <w:lvl w:ilvl="0" w:tplc="475618B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1452B3"/>
    <w:multiLevelType w:val="hybridMultilevel"/>
    <w:tmpl w:val="B54221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FC5627"/>
    <w:multiLevelType w:val="hybridMultilevel"/>
    <w:tmpl w:val="BAC482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4DD06BEF"/>
    <w:multiLevelType w:val="hybridMultilevel"/>
    <w:tmpl w:val="0700E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FD38B2"/>
    <w:multiLevelType w:val="hybridMultilevel"/>
    <w:tmpl w:val="37226526"/>
    <w:lvl w:ilvl="0" w:tplc="55B2D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537D43"/>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0">
    <w:nsid w:val="7AC94C45"/>
    <w:multiLevelType w:val="hybridMultilevel"/>
    <w:tmpl w:val="4128F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
  </w:num>
  <w:num w:numId="4">
    <w:abstractNumId w:val="21"/>
  </w:num>
  <w:num w:numId="5">
    <w:abstractNumId w:val="14"/>
  </w:num>
  <w:num w:numId="6">
    <w:abstractNumId w:val="2"/>
  </w:num>
  <w:num w:numId="7">
    <w:abstractNumId w:val="3"/>
  </w:num>
  <w:num w:numId="8">
    <w:abstractNumId w:val="31"/>
  </w:num>
  <w:num w:numId="9">
    <w:abstractNumId w:val="18"/>
  </w:num>
  <w:num w:numId="10">
    <w:abstractNumId w:val="25"/>
  </w:num>
  <w:num w:numId="11">
    <w:abstractNumId w:val="4"/>
  </w:num>
  <w:num w:numId="12">
    <w:abstractNumId w:val="24"/>
  </w:num>
  <w:num w:numId="13">
    <w:abstractNumId w:val="13"/>
  </w:num>
  <w:num w:numId="14">
    <w:abstractNumId w:val="12"/>
  </w:num>
  <w:num w:numId="15">
    <w:abstractNumId w:val="20"/>
  </w:num>
  <w:num w:numId="16">
    <w:abstractNumId w:val="7"/>
  </w:num>
  <w:num w:numId="17">
    <w:abstractNumId w:val="26"/>
  </w:num>
  <w:num w:numId="18">
    <w:abstractNumId w:val="10"/>
  </w:num>
  <w:num w:numId="19">
    <w:abstractNumId w:val="6"/>
  </w:num>
  <w:num w:numId="20">
    <w:abstractNumId w:val="23"/>
  </w:num>
  <w:num w:numId="21">
    <w:abstractNumId w:val="28"/>
  </w:num>
  <w:num w:numId="22">
    <w:abstractNumId w:val="15"/>
  </w:num>
  <w:num w:numId="23">
    <w:abstractNumId w:val="5"/>
  </w:num>
  <w:num w:numId="24">
    <w:abstractNumId w:val="22"/>
  </w:num>
  <w:num w:numId="25">
    <w:abstractNumId w:val="11"/>
  </w:num>
  <w:num w:numId="26">
    <w:abstractNumId w:val="30"/>
  </w:num>
  <w:num w:numId="27">
    <w:abstractNumId w:val="16"/>
  </w:num>
  <w:num w:numId="28">
    <w:abstractNumId w:val="17"/>
  </w:num>
  <w:num w:numId="29">
    <w:abstractNumId w:val="27"/>
  </w:num>
  <w:num w:numId="30">
    <w:abstractNumId w:val="9"/>
  </w:num>
  <w:num w:numId="31">
    <w:abstractNumId w:val="8"/>
  </w:num>
  <w:num w:numId="32">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evenAndOddHeaders/>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58A2"/>
    <w:rsid w:val="00000166"/>
    <w:rsid w:val="000008C2"/>
    <w:rsid w:val="00003379"/>
    <w:rsid w:val="0000365A"/>
    <w:rsid w:val="00005143"/>
    <w:rsid w:val="00005BA1"/>
    <w:rsid w:val="00005BBF"/>
    <w:rsid w:val="00006069"/>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47AA"/>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6B52"/>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89D"/>
    <w:rsid w:val="000F79B7"/>
    <w:rsid w:val="001000AE"/>
    <w:rsid w:val="00101978"/>
    <w:rsid w:val="00102FF2"/>
    <w:rsid w:val="001042D7"/>
    <w:rsid w:val="001045F8"/>
    <w:rsid w:val="0010523D"/>
    <w:rsid w:val="001059EB"/>
    <w:rsid w:val="001064F1"/>
    <w:rsid w:val="00111A83"/>
    <w:rsid w:val="0011443C"/>
    <w:rsid w:val="00114B14"/>
    <w:rsid w:val="001163B7"/>
    <w:rsid w:val="00116F9D"/>
    <w:rsid w:val="00122060"/>
    <w:rsid w:val="00122753"/>
    <w:rsid w:val="00124B1D"/>
    <w:rsid w:val="00124E6A"/>
    <w:rsid w:val="0012515E"/>
    <w:rsid w:val="00125540"/>
    <w:rsid w:val="001266F2"/>
    <w:rsid w:val="00126FF3"/>
    <w:rsid w:val="001314F4"/>
    <w:rsid w:val="001336DB"/>
    <w:rsid w:val="00135637"/>
    <w:rsid w:val="00135733"/>
    <w:rsid w:val="0013607B"/>
    <w:rsid w:val="001364C8"/>
    <w:rsid w:val="00137D20"/>
    <w:rsid w:val="0014089D"/>
    <w:rsid w:val="0014285E"/>
    <w:rsid w:val="001439B4"/>
    <w:rsid w:val="001441B9"/>
    <w:rsid w:val="00146909"/>
    <w:rsid w:val="00146EB8"/>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96F61"/>
    <w:rsid w:val="002A0DEA"/>
    <w:rsid w:val="002A244F"/>
    <w:rsid w:val="002A2B9C"/>
    <w:rsid w:val="002A4488"/>
    <w:rsid w:val="002A4762"/>
    <w:rsid w:val="002A4776"/>
    <w:rsid w:val="002B0822"/>
    <w:rsid w:val="002B35CF"/>
    <w:rsid w:val="002B3CF3"/>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6CB1"/>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101F"/>
    <w:rsid w:val="0031662D"/>
    <w:rsid w:val="00316BC8"/>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8D7"/>
    <w:rsid w:val="003A7E4D"/>
    <w:rsid w:val="003B1DD2"/>
    <w:rsid w:val="003B2A98"/>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E7AA4"/>
    <w:rsid w:val="003F0D0E"/>
    <w:rsid w:val="003F1AFF"/>
    <w:rsid w:val="003F4571"/>
    <w:rsid w:val="004006C7"/>
    <w:rsid w:val="00401ABA"/>
    <w:rsid w:val="004062B0"/>
    <w:rsid w:val="00406E8D"/>
    <w:rsid w:val="00410514"/>
    <w:rsid w:val="004113CE"/>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83E"/>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4183"/>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4F741A"/>
    <w:rsid w:val="00500D62"/>
    <w:rsid w:val="00502074"/>
    <w:rsid w:val="005020F5"/>
    <w:rsid w:val="005024BB"/>
    <w:rsid w:val="00502A17"/>
    <w:rsid w:val="00503380"/>
    <w:rsid w:val="00504127"/>
    <w:rsid w:val="005062CB"/>
    <w:rsid w:val="00507EAD"/>
    <w:rsid w:val="00510147"/>
    <w:rsid w:val="00510EE0"/>
    <w:rsid w:val="00510FC1"/>
    <w:rsid w:val="00511219"/>
    <w:rsid w:val="0051122A"/>
    <w:rsid w:val="00511394"/>
    <w:rsid w:val="00512DFD"/>
    <w:rsid w:val="005207C4"/>
    <w:rsid w:val="005220A5"/>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240"/>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02D8"/>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2205"/>
    <w:rsid w:val="005F371E"/>
    <w:rsid w:val="005F6A84"/>
    <w:rsid w:val="00601445"/>
    <w:rsid w:val="00601AE6"/>
    <w:rsid w:val="006021DE"/>
    <w:rsid w:val="006022B0"/>
    <w:rsid w:val="00602A2C"/>
    <w:rsid w:val="00602DCF"/>
    <w:rsid w:val="00604EC9"/>
    <w:rsid w:val="006070AC"/>
    <w:rsid w:val="00610341"/>
    <w:rsid w:val="0061242D"/>
    <w:rsid w:val="0061259E"/>
    <w:rsid w:val="00612BED"/>
    <w:rsid w:val="006133CA"/>
    <w:rsid w:val="006139C6"/>
    <w:rsid w:val="00614582"/>
    <w:rsid w:val="006149E7"/>
    <w:rsid w:val="00614C81"/>
    <w:rsid w:val="00616733"/>
    <w:rsid w:val="00616A1C"/>
    <w:rsid w:val="00617048"/>
    <w:rsid w:val="0061722F"/>
    <w:rsid w:val="00621877"/>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4E1F"/>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0057"/>
    <w:rsid w:val="006C2EE1"/>
    <w:rsid w:val="006C3A54"/>
    <w:rsid w:val="006C4627"/>
    <w:rsid w:val="006C52B4"/>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4ACC"/>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68A"/>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476D"/>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06BA8"/>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46F07"/>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18A0"/>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A37"/>
    <w:rsid w:val="008C3D40"/>
    <w:rsid w:val="008C4888"/>
    <w:rsid w:val="008C6F1B"/>
    <w:rsid w:val="008C6FF4"/>
    <w:rsid w:val="008C7A4C"/>
    <w:rsid w:val="008D0EB0"/>
    <w:rsid w:val="008D5FCD"/>
    <w:rsid w:val="008D66C4"/>
    <w:rsid w:val="008D67B2"/>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2DCA"/>
    <w:rsid w:val="0092346E"/>
    <w:rsid w:val="0092455C"/>
    <w:rsid w:val="00925466"/>
    <w:rsid w:val="0092569C"/>
    <w:rsid w:val="00926348"/>
    <w:rsid w:val="009265BA"/>
    <w:rsid w:val="009268A5"/>
    <w:rsid w:val="00927918"/>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68D0"/>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DF"/>
    <w:rsid w:val="009B5AF1"/>
    <w:rsid w:val="009B6812"/>
    <w:rsid w:val="009B6D6F"/>
    <w:rsid w:val="009B73F0"/>
    <w:rsid w:val="009B7F93"/>
    <w:rsid w:val="009B7FC7"/>
    <w:rsid w:val="009C0AE7"/>
    <w:rsid w:val="009C1A7D"/>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3F0D"/>
    <w:rsid w:val="00A353A4"/>
    <w:rsid w:val="00A3555A"/>
    <w:rsid w:val="00A37D4B"/>
    <w:rsid w:val="00A40ECB"/>
    <w:rsid w:val="00A41156"/>
    <w:rsid w:val="00A41FBB"/>
    <w:rsid w:val="00A43445"/>
    <w:rsid w:val="00A44908"/>
    <w:rsid w:val="00A4497A"/>
    <w:rsid w:val="00A44C6A"/>
    <w:rsid w:val="00A455D1"/>
    <w:rsid w:val="00A46137"/>
    <w:rsid w:val="00A466E4"/>
    <w:rsid w:val="00A47630"/>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2016"/>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457"/>
    <w:rsid w:val="00AD681C"/>
    <w:rsid w:val="00AE0049"/>
    <w:rsid w:val="00AE1528"/>
    <w:rsid w:val="00AE15D9"/>
    <w:rsid w:val="00AE20E8"/>
    <w:rsid w:val="00AE515C"/>
    <w:rsid w:val="00AE541B"/>
    <w:rsid w:val="00AE544D"/>
    <w:rsid w:val="00AE55D9"/>
    <w:rsid w:val="00AE708F"/>
    <w:rsid w:val="00AF0950"/>
    <w:rsid w:val="00AF235A"/>
    <w:rsid w:val="00AF238A"/>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418"/>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4FF7"/>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214"/>
    <w:rsid w:val="00BD439A"/>
    <w:rsid w:val="00BD4638"/>
    <w:rsid w:val="00BD6DFA"/>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1C3"/>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343F"/>
    <w:rsid w:val="00C14453"/>
    <w:rsid w:val="00C15F72"/>
    <w:rsid w:val="00C178E8"/>
    <w:rsid w:val="00C17CE0"/>
    <w:rsid w:val="00C17F6A"/>
    <w:rsid w:val="00C20019"/>
    <w:rsid w:val="00C20C27"/>
    <w:rsid w:val="00C20D74"/>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A8B"/>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30C5"/>
    <w:rsid w:val="00CC3327"/>
    <w:rsid w:val="00CC7034"/>
    <w:rsid w:val="00CD12A6"/>
    <w:rsid w:val="00CD293A"/>
    <w:rsid w:val="00CD47E1"/>
    <w:rsid w:val="00CD77E5"/>
    <w:rsid w:val="00CE377A"/>
    <w:rsid w:val="00CE3EE8"/>
    <w:rsid w:val="00CE4092"/>
    <w:rsid w:val="00CE473E"/>
    <w:rsid w:val="00CE65DD"/>
    <w:rsid w:val="00CE7A45"/>
    <w:rsid w:val="00CF00D0"/>
    <w:rsid w:val="00CF1421"/>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EFA"/>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483"/>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64CA8"/>
    <w:rsid w:val="00E723B7"/>
    <w:rsid w:val="00E72587"/>
    <w:rsid w:val="00E72CD2"/>
    <w:rsid w:val="00E73857"/>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0F9"/>
    <w:rsid w:val="00ED5E0B"/>
    <w:rsid w:val="00ED6BC4"/>
    <w:rsid w:val="00ED6F3A"/>
    <w:rsid w:val="00EE16EB"/>
    <w:rsid w:val="00EE2985"/>
    <w:rsid w:val="00EE4DB6"/>
    <w:rsid w:val="00EE549A"/>
    <w:rsid w:val="00EE5DB1"/>
    <w:rsid w:val="00EE788C"/>
    <w:rsid w:val="00EE7F94"/>
    <w:rsid w:val="00EF37FB"/>
    <w:rsid w:val="00EF46DD"/>
    <w:rsid w:val="00EF591E"/>
    <w:rsid w:val="00EF6902"/>
    <w:rsid w:val="00F00736"/>
    <w:rsid w:val="00F007CA"/>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6BAE"/>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4F9E"/>
    <w:rsid w:val="00FB62DF"/>
    <w:rsid w:val="00FB7FD9"/>
    <w:rsid w:val="00FC009E"/>
    <w:rsid w:val="00FC04F3"/>
    <w:rsid w:val="00FC0936"/>
    <w:rsid w:val="00FC3FF7"/>
    <w:rsid w:val="00FC46CC"/>
    <w:rsid w:val="00FC6446"/>
    <w:rsid w:val="00FD0281"/>
    <w:rsid w:val="00FD03B5"/>
    <w:rsid w:val="00FD0DD1"/>
    <w:rsid w:val="00FD3193"/>
    <w:rsid w:val="00FD3A63"/>
    <w:rsid w:val="00FD5FBE"/>
    <w:rsid w:val="00FD7074"/>
    <w:rsid w:val="00FD7AAC"/>
    <w:rsid w:val="00FD7C74"/>
    <w:rsid w:val="00FE004E"/>
    <w:rsid w:val="00FE05FE"/>
    <w:rsid w:val="00FE1587"/>
    <w:rsid w:val="00FE1C70"/>
    <w:rsid w:val="00FE411F"/>
    <w:rsid w:val="00FE464A"/>
    <w:rsid w:val="00FF2156"/>
    <w:rsid w:val="00FF2C2D"/>
    <w:rsid w:val="00FF3DF7"/>
    <w:rsid w:val="00FF5C56"/>
    <w:rsid w:val="00FF63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r="http://schemas.openxmlformats.org/officeDocument/2006/relationships" xmlns:w="http://schemas.openxmlformats.org/wordprocessingml/2006/main">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A158DFA9-B2B6-4ACA-BAF0-373FB953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11270</Words>
  <Characters>61989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Prado Arredondo, Gimna Valeria</cp:lastModifiedBy>
  <cp:revision>3</cp:revision>
  <cp:lastPrinted>2018-03-01T20:52:00Z</cp:lastPrinted>
  <dcterms:created xsi:type="dcterms:W3CDTF">2018-02-13T02:29:00Z</dcterms:created>
  <dcterms:modified xsi:type="dcterms:W3CDTF">2018-03-01T20:52:00Z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