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F81B77">
        <w:rPr>
          <w:rFonts w:ascii="Arial" w:hAnsi="Arial" w:cs="Arial"/>
          <w:b/>
          <w:sz w:val="17"/>
          <w:szCs w:val="17"/>
        </w:rPr>
        <w:t xml:space="preserve"> DE LA UNIVERSIDAD TECNOLOGICA DE QUERETARO</w:t>
      </w:r>
    </w:p>
    <w:p w:rsidR="00F81B77" w:rsidRPr="002D70DA" w:rsidRDefault="00F81B7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Con el propósito de dar cumplimiento alartículo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1D11001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MUEBLES DE OFICINA Y ESTANTERIA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$19,358,312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1D13001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DE COMPUTO Y DE TECNOLOGIAS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42,562,108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1D19001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OTROS MOBILIARIOS Y EQUIPOS DE ADMINISTRACION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229,728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1D21001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EQUIPOS Y APARATOS AUDIOVISUALES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2,463,726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1D22001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APARATOS DEPORTIVOS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312,666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1D23001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CAMARAS FOTOGRAFICAS Y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1,502,304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1D29001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 MOBILIARIO Y EQUIPO EDUCACIONAL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13,891,436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81B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1D31001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81B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MEDICO Y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1,069,748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307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1D41001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VEHICULOS Y EQUIPO DE TRANSPORTE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5,541,028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307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1D64001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SISTEMAS DE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57,697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307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1D65001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Y APARATOS DE 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3,511,861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307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1D66001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MAQ. Y EQ. ELECTRICO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10,889,528</w:t>
            </w:r>
          </w:p>
        </w:tc>
        <w:bookmarkStart w:id="0" w:name="_GoBack"/>
        <w:bookmarkEnd w:id="0"/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307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1D67001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HERRAMIENTAS Y MAQUINAS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17,890,275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307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1D71001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BIENES ARTISTICOS Y CULTURALES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136,138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307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1E11001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143" w:rsidRDefault="00077143" w:rsidP="0007714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4,723,683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7143" w:rsidRDefault="00077143" w:rsidP="0007714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77143">
              <w:rPr>
                <w:rFonts w:ascii="Calibri" w:hAnsi="Calibri"/>
                <w:b/>
                <w:bCs/>
                <w:sz w:val="18"/>
                <w:szCs w:val="18"/>
              </w:rPr>
              <w:t>$124,140,23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3B74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74" w:rsidRPr="002D70DA" w:rsidRDefault="00553B74" w:rsidP="00553B7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Julio Elías Real García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B74" w:rsidRPr="002D70DA" w:rsidRDefault="00553B74" w:rsidP="00553B7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B74" w:rsidRPr="002D70DA" w:rsidRDefault="00553B74" w:rsidP="00553B7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74" w:rsidRPr="002D70DA" w:rsidRDefault="00553B74" w:rsidP="00553B7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 Juan Carlos Sánchez Soria</w:t>
            </w:r>
          </w:p>
        </w:tc>
      </w:tr>
      <w:tr w:rsidR="00553B74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3B74" w:rsidRPr="002D70DA" w:rsidRDefault="00553B74" w:rsidP="00553B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Encargado de </w:t>
            </w:r>
            <w:r w:rsidRPr="006350D0">
              <w:rPr>
                <w:rFonts w:ascii="Arial" w:hAnsi="Arial" w:cs="Arial"/>
                <w:sz w:val="17"/>
                <w:szCs w:val="17"/>
              </w:rPr>
              <w:t>Subdirección de Recursos Materiales Servicios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B74" w:rsidRPr="002D70DA" w:rsidRDefault="00553B74" w:rsidP="00553B7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B74" w:rsidRPr="002D70DA" w:rsidRDefault="00553B74" w:rsidP="00553B7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3B74" w:rsidRPr="002D70DA" w:rsidRDefault="00553B74" w:rsidP="00553B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0D0">
              <w:rPr>
                <w:rFonts w:ascii="Arial" w:hAnsi="Arial" w:cs="Arial"/>
                <w:sz w:val="17"/>
                <w:szCs w:val="17"/>
              </w:rPr>
              <w:t>Técnico Administrativo de Activo Fijo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AC" w:rsidRDefault="001B7EAC">
      <w:r>
        <w:separator/>
      </w:r>
    </w:p>
  </w:endnote>
  <w:endnote w:type="continuationSeparator" w:id="1">
    <w:p w:rsidR="001B7EAC" w:rsidRDefault="001B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586BA8" w:rsidP="00813029">
    <w:pPr>
      <w:pStyle w:val="BodyText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586BA8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>
      <w:rPr>
        <w:rFonts w:ascii="Avenir LT Std 45 Book" w:hAnsi="Avenir LT Std 45 Book" w:cs="Arial"/>
        <w:color w:val="808080"/>
        <w:szCs w:val="20"/>
      </w:rPr>
      <w:t>NOTAS A LOS ESTADOS FINANCIEROS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43C6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077143" w:rsidRPr="00077143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  <w:p w:rsidR="00AA7547" w:rsidRPr="00813029" w:rsidRDefault="00AA7547" w:rsidP="00813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586BA8" w:rsidP="00813029">
    <w:pPr>
      <w:pStyle w:val="BodyText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586BA8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5574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955748" w:rsidRPr="00955748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AC" w:rsidRDefault="001B7EAC">
      <w:r>
        <w:separator/>
      </w:r>
    </w:p>
  </w:footnote>
  <w:footnote w:type="continuationSeparator" w:id="1">
    <w:p w:rsidR="001B7EAC" w:rsidRDefault="001B7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6BA8" w:rsidRPr="00586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643.2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830727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2017</w:t>
                </w:r>
              </w:p>
            </w:txbxContent>
          </v:textbox>
          <w10:wrap anchorx="margin"/>
        </v:shape>
      </w:pict>
    </w:r>
    <w:r w:rsidR="00586BA8" w:rsidRPr="00586BA8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586BA8" w:rsidRPr="00586BA8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74" w:rsidRDefault="00553B74" w:rsidP="00553B74">
    <w:pPr>
      <w:jc w:val="center"/>
      <w:rPr>
        <w:rFonts w:ascii="Avenir LT Std 45 Book" w:hAnsi="Avenir LT Std 45 Book"/>
        <w:b/>
        <w:color w:val="808080"/>
        <w:sz w:val="20"/>
        <w:szCs w:val="20"/>
      </w:rPr>
    </w:pPr>
  </w:p>
  <w:p w:rsidR="00AA7547" w:rsidRPr="00CF00D0" w:rsidRDefault="00586BA8" w:rsidP="00553B74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586BA8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6.15pt;margin-top:25.55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Pr="00586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546.35pt;margin-top:-5.2pt;width:152.8pt;height:27.75pt;z-index:25167411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LyiwIAAB0FAAAOAAAAZHJzL2Uyb0RvYy54bWysVG1v0zAQ/o7Ef7D8vcvL0q6Jmk5bRxHS&#10;eJEGP8C1ncYi8QXbbTIm/jtnpy1lgIQQ+ZDYufNzz90958X10DZkL41VoEuaXMSUSM1BKL0t6aeP&#10;68mcEuuYFqwBLUv6KC29Xr58sei7QqZQQyOkIQiibdF3Ja2d64oosryWLbMX0EmNxgpMyxxuzTYS&#10;hvWI3jZRGsezqAcjOgNcWot/70YjXQb8qpLcva8qKx1pSorcXHib8N74d7RcsGJrWFcrfqDB/oFF&#10;y5TGoCeoO+YY2Rn1C1SruAELlbvg0EZQVYrLkANmk8TPsnmoWSdDLlgc253KZP8fLH+3/2CIEiXN&#10;KNGsxRatdkwYIEISJwcHZOqL1He2QN+HDr3dcAsDNjskbLt74J8t0bCqmd7KG2OgryUTSDLxJ6Oz&#10;oyOO9SCb/i0IjMZ2DgLQUJnWVxBrQhAdm/V4ahDyINyHzLN4OkMTR9vlNM3SQC5ixfF0Z6x7LaEl&#10;flFSgwII6Gx/b51nw4qjiw9moVFirZombMx2s2oM2TMUyzo8IYFnbo32zhr8sRFx/IMkMYa3ebqh&#10;+U95kmbxbZpP1rP51SRbZ9NJfhXPJ3GS3+azOMuzu/U3TzDJiloJIfW90vIoxCT7u0YfRmKUUJAi&#10;6UuaT7E6Ia8/JhmH53dJtsrhXDaqLen85MQK39hXWmDarHBMNeM6+pl+qDLW4PgNVQky8J0fNeCG&#10;zRBkd3lU1wbEI+rCALYNO4x3Ci5qMF8p6XE+S2q/7JiRlDRvNGorT7LMD3TYZNOrFDfm3LI5tzDN&#10;EaqkjpJxuXLjJbDrjNrWGGlUs4Yb1GOlglS8cEdWBxXjDIacDveFH/LzffD6castvwMAAP//AwBQ&#10;SwMEFAAGAAgAAAAhAPNpxVXeAAAADAEAAA8AAABkcnMvZG93bnJldi54bWxMj0FPg0AUhO8m/ofN&#10;M/Fi7IKlYJGlURON19b+gAf7CkT2LWG3hf57l5MeJzOZ+abYzaYXFxpdZ1lBvIpAENdWd9woOH5/&#10;PD6DcB5ZY2+ZFFzJwa68vSkw13biPV0OvhGhhF2OClrvh1xKV7dk0K3sQBy8kx0N+iDHRuoRp1Bu&#10;evkURak02HFYaHGg95bqn8PZKDh9TQ+b7VR9+mO2T9I37LLKXpW6v5tfX0B4mv1fGBb8gA5lYKrs&#10;mbUTfdDxOglnvII03oBYEsl6m4KoFi+LQJaF/H+i/AUAAP//AwBQSwECLQAUAAYACAAAACEAtoM4&#10;kv4AAADhAQAAEwAAAAAAAAAAAAAAAAAAAAAAW0NvbnRlbnRfVHlwZXNdLnhtbFBLAQItABQABgAI&#10;AAAAIQA4/SH/1gAAAJQBAAALAAAAAAAAAAAAAAAAAC8BAABfcmVscy8ucmVsc1BLAQItABQABgAI&#10;AAAAIQC97sLyiwIAAB0FAAAOAAAAAAAAAAAAAAAAAC4CAABkcnMvZTJvRG9jLnhtbFBLAQItABQA&#10;BgAIAAAAIQDzacVV3gAAAAwBAAAPAAAAAAAAAAAAAAAAAOUEAABkcnMvZG93bnJldi54bWxQSwUG&#10;AAAAAAQABADzAAAA8AUAAAAA&#10;" stroked="f">
          <v:textbox style="mso-next-textbox:#_x0000_s4104">
            <w:txbxContent>
              <w:p w:rsidR="00553B74" w:rsidRPr="00CF00D0" w:rsidRDefault="00553B74" w:rsidP="00553B74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2017</w:t>
                </w:r>
              </w:p>
            </w:txbxContent>
          </v:textbox>
          <w10:wrap anchorx="margin"/>
        </v:shape>
      </w:pict>
    </w:r>
    <w:r w:rsidRPr="00586BA8">
      <w:rPr>
        <w:noProof/>
      </w:rPr>
      <w:pict>
        <v:shape id="_x0000_s4105" type="#_x0000_t202" style="position:absolute;left:0;text-align:left;margin-left:548.05pt;margin-top:-37.4pt;width:152.8pt;height:31.35pt;z-index:2516735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66igIAAB0FAAAOAAAAZHJzL2Uyb0RvYy54bWysVG1v0zAQ/o7Ef7D8vcsLaddETaetowhp&#10;vEiDH+DaTmOR+ILtNhkT/52z03ZlgIQQ+ZDYufNzz90958XV0DZkL41VoEuaXMSUSM1BKL0t6edP&#10;68mcEuuYFqwBLUv6IC29Wr58sei7QqZQQyOkIQiibdF3Ja2d64oosryWLbMX0EmNxgpMyxxuzTYS&#10;hvWI3jZRGsezqAcjOgNcWot/b0cjXQb8qpLcfagqKx1pSorcXHib8N74d7RcsGJrWFcrfqDB/oFF&#10;y5TGoCeoW+YY2Rn1C1SruAELlbvg0EZQVYrLkANmk8TPsrmvWSdDLlgc253KZP8fLH+//2iIEiVN&#10;KdGsxRatdkwYIEISJwcHZOqL1He2QN/7Dr3dcAMDNjskbLs74F8s0bCqmd7Ka2OgryUTSDLxJ6Oz&#10;oyOO9SCb/h0IjMZ2DgLQUJnWVxBrQhAdm/VwahDyINyHzLN4OkMTR9urfJ5kgVzEiuPpzlj3RkJL&#10;/KKkBgUQ0Nn+zjrPhhVHFx/MQqPEWjVN2JjtZtUYsmcolnV4QgLP3BrtnTX4YyPi+AdJYgxv83RD&#10;8x/zJM3imzSfrGfzy0m2zqaT/DKeT+Ikv8lncZZnt+vvnmCSFbUSQuo7peVRiEn2d40+jMQooSBF&#10;0pc0n6bTsUV/TDIOz++SbJXDuWxUW9L5yYkVvrGvtcC0WeGYasZ19DP9UGWswfEbqhJk4Ds/asAN&#10;m+EgOwTzEtmAeEBdGMC2YYfxTsFFDeYbJT3OZ0nt1x0zkpLmrUZt5UmW+YEOm2x6meLGnFs25xam&#10;OUKV1FEyLlduvAR2nVHbGiONatZwjXqsVJDKE6uDinEGQ06H+8IP+fk+eD3dassfAAAA//8DAFBL&#10;AwQUAAYACAAAACEALZeIud4AAAAKAQAADwAAAGRycy9kb3ducmV2LnhtbEyP0U6DQBBF3038h82Y&#10;+GLahRbBUpZGTTS+tvYDBnYKRHaWsNtC/97tkz7ezMm9Z4rdbHpxodF1lhXEywgEcW11x42C4/fH&#10;4gWE88gae8uk4EoOduX9XYG5thPv6XLwjQgl7HJU0Ho/5FK6uiWDbmkH4nA72dGgD3FspB5xCuWm&#10;l6soSqXBjsNCiwO9t1T/HM5GwelrenreTNWnP2b7JH3DLqvsVanHh/l1C8LT7P9guOkHdSiDU2XP&#10;rJ3oQ47XaRxYBYsExA1IkjgDUSlIV2uQZSH/v1D+AgAA//8DAFBLAQItABQABgAIAAAAIQC2gziS&#10;/gAAAOEBAAATAAAAAAAAAAAAAAAAAAAAAABbQ29udGVudF9UeXBlc10ueG1sUEsBAi0AFAAGAAgA&#10;AAAhADj9If/WAAAAlAEAAAsAAAAAAAAAAAAAAAAALwEAAF9yZWxzLy5yZWxzUEsBAi0AFAAGAAgA&#10;AAAhAHGLDrqKAgAAHQUAAA4AAAAAAAAAAAAAAAAALgIAAGRycy9lMm9Eb2MueG1sUEsBAi0AFAAG&#10;AAgAAAAhAC2XiLneAAAACgEAAA8AAAAAAAAAAAAAAAAA5AQAAGRycy9kb3ducmV2LnhtbFBLBQYA&#10;AAAABAAEAPMAAADvBQAAAAA=&#10;" stroked="f">
          <v:textbox style="mso-next-textbox:#_x0000_s4105">
            <w:txbxContent>
              <w:p w:rsidR="00553B74" w:rsidRPr="00CF00D0" w:rsidRDefault="00553B74" w:rsidP="00553B74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553B74" w:rsidRPr="00CF00D0" w:rsidRDefault="00553B74" w:rsidP="00553B74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553B74" w:rsidRPr="00553B74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drawing>
        <wp:anchor distT="0" distB="0" distL="114300" distR="114300" simplePos="0" relativeHeight="25167923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-391160</wp:posOffset>
          </wp:positionV>
          <wp:extent cx="1564005" cy="5816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B74">
      <w:rPr>
        <w:rFonts w:ascii="Avenir LT Std 45 Book" w:hAnsi="Avenir LT Std 45 Book"/>
        <w:b/>
        <w:color w:val="808080"/>
        <w:sz w:val="20"/>
        <w:szCs w:val="20"/>
      </w:rPr>
      <w:t>UNIVERSIDAD TECNOLÓGICA DE QUERÉTARO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143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B7EAC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2BAB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38FA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3B74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6BA8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1E99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0727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5748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3C6F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1B77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Heading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Heading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Heading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Heading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Heading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E6017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E60172"/>
  </w:style>
  <w:style w:type="paragraph" w:styleId="BodyText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BodyText2">
    <w:name w:val="Body Text 2"/>
    <w:basedOn w:val="Normal"/>
    <w:link w:val="BodyText2Ch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BodyText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itle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itle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BodyTextIndent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BodyTextIndent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BlockText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ListContinue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BodyTextIndent2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BodyTextIndent3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yperlink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FollowedHyperlink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BodyTextIndent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BalloonText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FootnoteText">
    <w:name w:val="footnote text"/>
    <w:basedOn w:val="Normal"/>
    <w:semiHidden/>
    <w:rsid w:val="00E60172"/>
    <w:rPr>
      <w:sz w:val="20"/>
      <w:szCs w:val="20"/>
    </w:rPr>
  </w:style>
  <w:style w:type="character" w:styleId="FootnoteReference">
    <w:name w:val="footnote reference"/>
    <w:semiHidden/>
    <w:rsid w:val="00E60172"/>
    <w:rPr>
      <w:vertAlign w:val="superscript"/>
    </w:rPr>
  </w:style>
  <w:style w:type="paragraph" w:styleId="EndnoteText">
    <w:name w:val="endnote text"/>
    <w:basedOn w:val="Normal"/>
    <w:semiHidden/>
    <w:rsid w:val="00E60172"/>
    <w:rPr>
      <w:sz w:val="20"/>
      <w:szCs w:val="20"/>
    </w:rPr>
  </w:style>
  <w:style w:type="character" w:styleId="EndnoteReference">
    <w:name w:val="endnote reference"/>
    <w:semiHidden/>
    <w:rsid w:val="00E60172"/>
    <w:rPr>
      <w:vertAlign w:val="superscript"/>
    </w:rPr>
  </w:style>
  <w:style w:type="character" w:customStyle="1" w:styleId="Heading1Char">
    <w:name w:val="Heading 1 Char"/>
    <w:link w:val="Heading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Heading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CommentReference">
    <w:name w:val="annotation reference"/>
    <w:semiHidden/>
    <w:rsid w:val="002746C5"/>
    <w:rPr>
      <w:sz w:val="16"/>
      <w:szCs w:val="16"/>
    </w:rPr>
  </w:style>
  <w:style w:type="paragraph" w:styleId="CommentText">
    <w:name w:val="annotation text"/>
    <w:basedOn w:val="Normal"/>
    <w:semiHidden/>
    <w:rsid w:val="002746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ListParagraph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">
    <w:name w:val="Body Text 2 Char"/>
    <w:link w:val="BodyText2"/>
    <w:uiPriority w:val="99"/>
    <w:locked/>
    <w:rsid w:val="00441C6F"/>
    <w:rPr>
      <w:rFonts w:ascii="Arial" w:hAnsi="Arial"/>
      <w:lang w:val="es-ES" w:eastAsia="es-ES"/>
    </w:rPr>
  </w:style>
  <w:style w:type="character" w:customStyle="1" w:styleId="FooterChar">
    <w:name w:val="Footer Char"/>
    <w:link w:val="Footer"/>
    <w:uiPriority w:val="99"/>
    <w:rsid w:val="006E5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E05DDE-F122-4C36-B2D8-9FCF9AAF5A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jelizondo</cp:lastModifiedBy>
  <cp:revision>2</cp:revision>
  <cp:lastPrinted>2018-02-14T17:40:00Z</cp:lastPrinted>
  <dcterms:created xsi:type="dcterms:W3CDTF">2018-02-15T16:58:00Z</dcterms:created>
  <dcterms:modified xsi:type="dcterms:W3CDTF">2018-02-15T16:58:00Z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