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8E3088">
        <w:rPr>
          <w:rFonts w:ascii="Arial" w:hAnsi="Arial" w:cs="Arial"/>
          <w:b/>
          <w:sz w:val="17"/>
          <w:szCs w:val="17"/>
        </w:rPr>
        <w:t>UNIDAD DE SERVICIOS PARA LA EDUCACION BASICA EN 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PAGO CHEQUES DE NÓMINA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0445776651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0157747373 BBVA BANCOMER SUBSIDIO ESTATAL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0157747373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INGRESOS PROPIOS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0157747136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MOVIMIENTOS TEMPORALES FONE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0198433216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BANORTE PAGO NOMINA ESTATAL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GRUPO FINANCIERO BANORTE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019678032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65504718100 SANTANDER PAGO NOMINA ESTATAL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BANCO SANTANDER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65504718100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PROGRAMA NACIONAL DE CONVIVENCIA ESCOLAR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0104020421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IMPUESTO SOBRE NOMINA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0107242182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REFORMA EDUCATIVA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0107925034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18000049347 SANTANDER FONE 2017 GASTOS DE OPERACIO</w:t>
            </w:r>
            <w:r>
              <w:rPr>
                <w:rFonts w:ascii="Arial Narrow" w:hAnsi="Arial Narrow"/>
                <w:color w:val="000000"/>
              </w:rPr>
              <w:t>N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BANCO SANTANDER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18000049347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18000049333 SANTANDER FONE 2017 GASTOS CORRIENTE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BANCO SANTANDER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18000049333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ESCUELA TIEMPO COMPLETO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BBVA BANCOMER SA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0110320293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BBVA BANCOMER PROGRAMA NACIONAL DE BECAS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SA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0110320323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INCLUSION Y EQUIDAD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SA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0110320404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25000022528 SANTANDER FORT DE LA CALIDAD EDUC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BANCO SANTANDER SA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25000022528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25000022531 SANTANDER PROG NAC DE CONVIV ESC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BANCO SANTANDER SA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25000022531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25000022514 SANTANDER PROG NACIONAL DE INGLES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BANCO SANTANDER SA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25000022514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PROG PARA EL DESARROLLO PROFESIONAL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SA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0110412988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25000025737 SANTANDER PROG HOMBRO CON HOMBRO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BANCO SANTANDER SA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25000025737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SUBSIDIO ESTATAL COMUNICACION SOCIAL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0110555851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PEC PROGRAMA REFORMA EDUCATIVA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0110878235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PARTICIPACION Y APROVECHAMIENTOS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0111078763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FONDO PARA EL FORTALECIMIENTO FINANCIERO IV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0111106074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DEPOSITOS PENSION ALIMENTICIA FONE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01077789238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BBVA BANCOMER EXCEDENTE INGRESOS PROPIOS 2017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BBVA BANCOMER SA 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88" w:rsidRDefault="008E3088" w:rsidP="008E30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0111200402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E308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ING.ENRIQUE DE ECHAVARRI LARY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E3088" w:rsidP="008E308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3088">
              <w:rPr>
                <w:rFonts w:ascii="Arial" w:hAnsi="Arial" w:cs="Arial"/>
                <w:sz w:val="17"/>
                <w:szCs w:val="17"/>
              </w:rPr>
              <w:t>LIC. RICARDO SALVADOR BACA MUÑOZ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8E3088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COORDINADOR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8E308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ADMINISTRACION</w:t>
            </w:r>
            <w:bookmarkStart w:id="0" w:name="_GoBack"/>
            <w:bookmarkEnd w:id="0"/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9D" w:rsidRDefault="00B0539D">
      <w:r>
        <w:separator/>
      </w:r>
    </w:p>
  </w:endnote>
  <w:endnote w:type="continuationSeparator" w:id="0">
    <w:p w:rsidR="00B0539D" w:rsidRDefault="00B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E308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E3088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E3088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E3088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48" w:rsidRDefault="00D11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9D" w:rsidRDefault="00B0539D">
      <w:r>
        <w:separator/>
      </w:r>
    </w:p>
  </w:footnote>
  <w:footnote w:type="continuationSeparator" w:id="0">
    <w:p w:rsidR="00B0539D" w:rsidRDefault="00B0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ente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48" w:rsidRDefault="00D115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088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286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70446183-434a-417e-bd54-278a42f2ca14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479CE9-A26D-448D-B6BA-D23ABE97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marisol</cp:lastModifiedBy>
  <cp:revision>2</cp:revision>
  <cp:lastPrinted>2014-03-13T03:19:00Z</cp:lastPrinted>
  <dcterms:created xsi:type="dcterms:W3CDTF">2018-01-24T14:57:00Z</dcterms:created>
  <dcterms:modified xsi:type="dcterms:W3CDTF">2018-01-24T14:57:00Z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