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0F" w:rsidRPr="0086110F" w:rsidRDefault="006335BE" w:rsidP="0086110F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</w:t>
      </w:r>
      <w:r w:rsidR="0086110F">
        <w:rPr>
          <w:rFonts w:ascii="Arial" w:hAnsi="Arial" w:cs="Arial"/>
          <w:b/>
          <w:sz w:val="17"/>
          <w:szCs w:val="17"/>
        </w:rPr>
        <w:t>AS A LOS ESTADOS FINANCIEROS</w:t>
      </w:r>
    </w:p>
    <w:p w:rsidR="0086110F" w:rsidRDefault="0086110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6110F" w:rsidRDefault="0086110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6110F" w:rsidRDefault="0086110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0"/>
      </w:tblGrid>
      <w:tr w:rsidR="0086110F" w:rsidTr="0086110F">
        <w:trPr>
          <w:trHeight w:val="315"/>
        </w:trPr>
        <w:tc>
          <w:tcPr>
            <w:tcW w:w="1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15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86110F" w:rsidRDefault="008611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Descripción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DESGLOSE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AL ESTADO DE SITUACIÓN FINANCIERA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Activo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Efectivo y Equivalentes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Fondos Fijos de Caja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 la realización de las actividades y de acuerdo a las necesidades de cada una de las dependencias que integran a la Universidad Autónoma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 Querétaro, se cuenta con 95 Fondos Fijos de Caja, los cuales se encuentran en resguardo por el personal responsable, al 31 de diciembre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del 2017, importan un total de: $1'212,000.00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Bancos / Tesorería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 lograr un mayor control e información de las operaciones financieras de ingresos y egresos se han aperturado con 9 diferentes instituciones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bancarias siendo 213 en moneda nacional, con un importe total de estas por la cantidad $ 264,758,742.95  y 2 en moneda extranjera con un saldo de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$2,019,632.62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Cuentas en Moneda Nacional                                    Núm. De Ctas.                          Saldo al 31-12-2017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BANAMEX                                                   1                                        132,508.38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SANTANDER                                              22                                   15,404,368.96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BANORTE                                                  95                                   85,856,320.91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BBVA BANCOMER                                      7                                    40,345,579.74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HSBC                                                          7                                   52,530,344.69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IXE                                                             66                                  56,184,311.72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MULTIVA                                                    45                                    7,827,523.52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SCOTIABANK                                              3                                     6,477,785.03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Cuentas en Moneda Extranjera                                    Núm. De Ctas.                          Saldo al 31-12-2017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BANORTE                                                  1                                   1,557,215.88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HSBC                                                        1                                      462,416.74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Inversiones Temporales (hasta 3 meses)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 el ejercicio fiscal de 2017 la institución adoptó la política de invertir recursos en Fondos de Inversión, en donde las inversiones temporales se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registran al valor de mercado, más los rendimientos devengados. Para el 31 de diciembre de 2017 se cerró con 55 cuentas de inversión que importan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 total de: $ 316,515,516.39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Derechos a recibir Efectivo y Equivalentes, y  Bienes o Servicios a Recibir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Deudores Diversos por cobrar a Corto Plazo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 respecto a las partidas de Deudores Diversos por Cobrar a Corto Plazo, Anticipos de Aguinaldo y Prima Vacacional, y Servicios Financieros,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que se muestran en el Estado de Situación Financiera al 31 de diciembre de 2016, se encuentran registrados a valor neto de recuperación  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importan un total de: $ 22,080,087.12 en función al total por su importancia se agrupan de la siguiente forma: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CUENTA                                                                                                                              IMPORTE                             VENCIMIENTO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PRESTAMOS PERSONALES                                                                      37,246.48 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GASTOS A COMPROBAR                                                                    12,759,055.25 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ANTICIPO DE AGUINALDO                                                                        12,775.10                      Menos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ANTICIPO DE QUINCENA                                                                         609,156.85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ANTICIPO DE PRIMA VACACIONAL                                                             8,971.30                     Menos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OTROS DEUDORES                                                                              2,758,646.19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DESCUENTOS PROMEP                                                                            61,386.30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SERVICIOS FINANCIEROS                                                                    5,797,848.77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Otros Derechos a Recibir Efectivo o Equivalentes a Corto Pla                             35,000.08                   Menos de 365 dias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 partidas se refieren a préstamos otorgados a los trabajadores de la Institución, y la recuperación de los mismos se hace quincenalmente.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Derechos a Recibir Bienes o Servicios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 el ejercicio terminado al 31 de diciembre de 2016, los anticipos cubiertos a los proveedores de bienes o servicios tienen una vigencia de 90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días y ascienden a: $ 39,199,070.64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Bienes Disponibles para su Transformación o consumo (Inventarios)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Almacenes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Los inventarios de los respectivos almacenes fueron registrados al valor de mercado y al 31 de diciembre de 2016 importan la cantidad de: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$11,570,253.54, no existiendo gravamen alguno sobre los mismos.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ALMACEN GENERAL                                                                                                   884,900.49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ALMACEN SISTEMAS                                                                                               2,823,149.33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ALMACEN CLINICA DENTAL UNIVERSITARIA                                                              331,375.19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ALMACEN CLINICA ODONTOLOGICA "Dr. BENJAMIN MORENO PEREZ"                    4,718,259.40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F" w:rsidRDefault="00861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ALMACEN DE CLINICA SANTA BARBARA                                                                                        1,241,723.00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0F" w:rsidRDefault="00861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ALMACEN CLINICA SANTA ROSA                                                                                                     1,570,846.13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Inversiones Financieras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Fideicomisos, Mandatos y Contratos Análogos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ha sido beneficiada con el otorgamiento de Recursos Federales, por parte de la Secretaría de Educación Pública, para programas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Investigación, Construcción y Equipamiento de aulas, Becas para el mejoramiento del profesorado y otros, cuyo ejercicio y control financiero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debe efectuarse a través de Fideicomisos, para el ejercicio terminado al 31 de diciembre de 2017 la integración de la cuenta de Fideicomisos es: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100618-PROMEP SANTANDER SERFIN                                         $   5,510,084.81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100618-3 PROMEP                                                                                2,086,000.77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100619-24-PFCE                                                                                   2,379,544.33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100618-4 PRODEP 17                                                                           6,234,655.89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65506073965-6 PFCE                                                                         14,027,648.45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Cabe mencionar que los Fideicomisos están respaldados por los Contratos signados con el Banco Santander, S. A., Grupo Financiero.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su vez tambien se tiene el Fideocimiso de Jubilaciones y Pensiones  con Banorte siendo el objetivo de este Fideicomiso que en un futuro se pueda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cubrir el sueldo del personal jubilado de la institución, el cual tiene aportación por parte de la SEP, por el personal sindicalizado del SUPAUAQ y del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STEUAQ, así como el personal Administrativo de CONFIANZA, cabe hacer la mención que solamente aportan al Fideicomiso el personal que ingreso a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trabajar a la institución antes del 15 de Junio del 2007 en el caso del SUPUAQ, para el STEUAQ y el Personal de Administrativo de CONFIANZA será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hasta el 31 de Julio del 2007. La aportación que hace la UAQ es 2 pesos por cada peso que aporte  el trabajador. El saldo al 31 de Diciembre del 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 el siguiente $ 1,631,819,593.55 y a continuación se deesglosa por cada uno de los Fideicomisos.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Fideicomiso de Jubilaciones y Pensiones SUPAUAQ 302029               $ 1,245,821,706.79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Fideicomiso de Jubilaciones y Pensiones CONFIANZA 302037                  122,101,124.24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Fideicomiso de Jubilaciones y Pensiones STEUAQ   741566                     263,896,762.52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Bienes Muebles, Inmuebles e Intangibles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Inmuebles e Infraestructura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Los inmuebles, los terrenos  y las construcciones en proceso al cierre del ejercicio terminado al 31 de diciembre de 2016, importan un total de: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$ 1,394,776,975.42, y en donde se dispone de los títulos de propiedad de los inmuebles, quedando en trámite la donación de un terreno por un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valor de $ 100'000,000.00. A la fecha de cierre no existe gravamen sobre los inmuebles propiedad de la Institución.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TERRENOS                                                                                                                  $   130,077,757.00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EDIFICOS NO HABITACIONALES                                                                                 1,052,963,359.09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CONSTRUCCIONES EN PROCESO EN BIENES DE DOMINIO PUBLICO                         61,830,818.86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CONSTRUCCIONES EN PROCESO EN BIENES PRIPIOS                                               149,905,040.47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Bienes  Muebles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Los mobiliarios y equipos de la Universidad son registrados a su costo de adquisición absorbiendo el Impuesto al Valor Agregado como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costo de inversión, a partir de este ejercio se empezo a aplicar la depreción a los Bienes Muebles adquiridos durante el 2017  y al cierre del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ejercicio al 31 de diciembre de 2017 no existe gravamen sobre los mismos.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agrupación de los bienes muebles es: $ 1,215,237,861.15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Mobiliario y Equipo de Administración                                                                         $   355,961,223.46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Mobiliario y Equipo Educacional y Recrativo                                                                    119,916,936.45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Equipo e Instrumental Médico y de Laboratorio                                                               489,646,337.72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Vehículos y Equipo de Transporte                                                                                        64,874,874.16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Maquinaria, Otros Equipos y Herramientas                                                                       145,281,362.02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Colecciones, Obras de Arte y Objetos Valiosos                                                                 39,557,127.34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Activos Intangibles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Dentro de los Activos Intangibles se encuentran el Software que se registra a su costo de adquisición, absorbiendo el Impuesto al Valor Agregado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como costo de inversión, y no existe gravamen sobre esta partida. Al 31 de diciembre de 2017 los Activos Intangibles se integran $ 23,693,940.16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Intangibles se integran: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Software                                                                                                                           $      22,323,017.55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Patentes                                                                                                                                        326,922.61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Franquicias                                                                                                                                    44,000.00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Depreciaciones y Amortizaciones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partir del ejeccio 2016 la Institución se empezó hacer la Depreciación de los Bienes Muebles adquiridos durante este ejerccio, asi como la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Amortización de los Intangibles los cuales al 31 de diciembre del 2016 estan integrados de la siguiente manera: $ 31,462,187.45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Depreciación Acumulada de Mobiliario y Equipo de Administración                                 $ 10,772,475.96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Depreciación Acumulada de Mobiliario y Equipo Educacional y Recreativo                           4,431,235.08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Depreciación Acumulada de Equipo e Instrumental Médico y de Laboratorio                       12,854,532.11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Depreciación Acumulada de Equipo de Transporte                                                             1,120,582.10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Depreciación Acumulada de Maquinaria, Otro Equipo y Herramientas                                  1,994,845.77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Amortización Acumuladas de Software                                                                                  288,516.43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Pasivo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Cuentas por Pagar a Corto Plazo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 relación a las cuentas Servicios Personales por Pagar a Corto Plazo, Proveedores por Pagar a Corto Plazo, Retenciones y Contribuciones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por Pagar a Corto Plazo y Otras Cuentas por Pagar a Corto Plazo, que suman el importe total al 31 de diciembre de 2016 de: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$ 247,312,817.62, por su importancia se agrupan de la siguiente forma: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CUENTA                                                                                     IMPORTE                                              VENCIMIENTO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Servicios Personales por Pagar a Corto Plazo                                 $  9,157,262.11                                           Más de 365 días.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Proveedores por Pagar a Corto Plazo                                                  64,042,959.02                                          Más de 30 días.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0F" w:rsidRDefault="008611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Ayudas Sociales                                                                                        31,557.59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Más de 30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Transferencias Otorgadas por Pagar a Corto Plazo                                138,654.00                                          Más de 30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Retenciones y Contribuciones por Pagar a Corto Plazo.                  44,095,455.40                                          Más de 120 días.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Otras Cuentas por Pagar a Corto Plazo                                              185,273,763.82                                          Más de 365 días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Todas las obligaciones contraidas por la Institución, por la adquisición de bienes o servicios, están incluidas en el Estado de Situación Financiera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 no se tiene conocimiento de que existan juicios o litigios contra la Institución por estos conceptos.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Por lo que respecta a la cuenta "Otras Cuentas por Pagar a Corto Plazo" que por el ejercicio terminado al 31 de diciembre de 2017 ascendió a: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$ 185,273,763.82, se integra principalmente por las cuentas de Fondo de Ahorro y Compensación por Antigüedad. Cabe mencionar que conforme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la Ley Federal del Trabajo y a los Contratos Colectivos, la Universidad paga a sus trabajadores que se jubilen o pensionen una gratificación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por antigüedad misma que se reconoce y registra en el año en que se efectuan los pagos, para el 31 de diciembre de 2017 alcanzó un total de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$ 30,754,282.11. Por lo que hace al Fondo de Ahorro, beneficio laboral para los trabajadores contenido en los Contratos Colectivos, ascendió a: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$ 83,788,445.24.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Pasivos Diferidos a Corto Plazo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aplica la práctica contable de reconocer y registrar el pasivo de la gratificación por antigüedad que no fue ejercida por los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trabajadores que debieron jubilarse en el año 2012 hasta el 2017 de  modo que al cierre del ejercicio terminado al 31 de diciembre de 2017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 apasivo un total de: $ 90,867,255.13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Institución a partir del ejercicio 2016 reconocio sus pasivos contigentes laborales tanto de las demandas por renucnias ó despidos, asi como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las demandas que se tienen por gran parte del personal jubilado respecto a la complementariedad de su pensión. Por lo que se reconocio un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Pasivo por Contigencias Laborales al 31 de diciembre del 2017 por la cantidad de $ 242,124,497.62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AL ESTADO DE VARIACIONES EN LA HACIENDA PÚBLICA/PATRIMONIO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Patrimonio Contribuido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Para el periodo comprendido del 1° de enero al 31 de diciembre del ejercicio 2016, en cuanto  a las modificaciones al patrimonio, provienen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principalmente de las bajas de las  adquisiciones de bienes muebles efectuadas en ejercicios anteriores donde se afactaba la cuenta de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Patrimonio ya que en dichos ejercicios se llevaba el doble registro por las adqusiciones de Activo Fijo.por lo que se detalla el movimiento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que tuvo la cuenta durante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MES                                                                    ADQUISICIONES                                         AJUSTE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Enero                                                                 $                 0.00                                                $                 0.00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Febrero                                                                                0.00                                                           52,014.60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Marzo                                                                          34,272.38                                                         734,082.82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Abril                                                                            47,457.57                                                         352,849.10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Mayo                                                                      1,030,683.10                                                      2,874,582.72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Junio                                                                         196,252.35                                                        847,965..02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Julio                                                                          166,198.62                                                         732,156.51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Agosto                                                                        77,595.39                                                      2,197,361.07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Septiembre                                                               244,188.64                                                      1,471,000.53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Octubre                                                                      59,834.48                                                        557,712.23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Noviembre                                                                 30,866.78                                                        766,593.43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           Diciembre                                                                190,367.35                                                         431,866.63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Cabe aclarar que para el mes de diciembre de 2012 se realizó un ajuste por: $ 100'000,000.00, que corresponde a la cancelación de la donación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un terreno del que no se cuenta con el respectivo avalúo, por lo que se reconocerá y registrará hasta contar con la información pertinente.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Patrimonio Generado de Ejercicios Anteriores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Rectificaciones de Resultados de Ejercicios Anteriores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aplicó el criterio de afectar la cuenta de cambios por errores contables de resultados de ejercicios anteriores, cuando son del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conocimiento o le son notificadas operaciones que debieron registrarse en ejercicios anteriores, al 31 de diciembre de 2013, se cuenta con un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acumulado de: $ 457'337,600.69, el que a continuación se detalla por ejercicio: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RESULTADO                                                                              IMPORTE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2008                                                                           $     50,449,160.58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2009                                                                                  57,317,810.37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2010                                                                                  46,322,152.41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2011                                                                                -19,377,730.45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2012                                                                                 18,127,790.57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2013                                                                                 51,011,719.68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2014                                                                               204,383,421.29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2015                                                                                 36,129,380.27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2017                                                                                 12,973,895.97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AL ESTADO DE ACTIVIDADES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Ingresos de Gestión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Participaciones y Aportaciones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Convenios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 Universidad implementó la práctica de registrar en la Contabilidad los recursos de Proyecto y Convenios CONACYT, CONCYTEQ,  y  OTROS,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afectando en ingresos la cuenta específica de Ingresos, y para el ejercicio de los recursos, las diferentes cuentas y partidas de presupuesto.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 31 de diciembre de 2017 la integración de los Proyectos y Convenios es la siguiente: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CUENTA                                                                                   IMPORTE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MUNICIPIO DE QUERÉTARO                                                                          $        350,000.00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PROYECTOS Y CONVENIOS C/EL CONACYT 2008                                            64,767,481.71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PROGRAMAS Y CONVENIOS CON OTROS 2008                                               68,601,502.07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PROYECTOS Y CONVENIOS C/EL CONCYTEQ 2008                                         57,898,941.74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Subsidios y Subvenciones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Los ingresos por Subsidios se registran en forma mensual, cuando se reciben de acuerdo a las ministraciones acordadas en los convenios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respectivos. Adicionalmente se reciben otros Subsidios Federales Específicos que también son ministrados de acuerdo a los convenios signados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La integración al 31 de diciembjunio de 2017 es como sigue: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CUENTA                                                                                   IMPORTE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SUBSIDIO FEDERAL ORDINARIO DEL EJERCICIO                                      $  1,326,029,446.00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SUBSIDIO FEDERAL EXTRAORDINARIO                                                                 4,914,945.00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PIFI/PROFOCIE/PFCE/ SUBSIDIO ESPECIFICO                                                     27,999,495.00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FAM SUBSIDIO ESPECIFICO                                                                                  52,070,028.57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CARRERA DOCENTE                                                                                                 9,440,156.00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PROEXOEES                                                                                                               2,758,876.40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PRODEP                                                                                                                    10,277,779.73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PROGRAMA P/INCLUSIÓN Y EQUIDAD EDUCATIVA T.S. PIEE                              1,963,200.00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SUBSIDIO ESTATAL ORDINARIO DEL EJERCICIO                                             557,837,800.00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REPOSICIÓN DE ACTIVOS                                                                                            18,545.40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DONATIVOS EN ESPECIE                                                                                              35,181.68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Productos de Tipo Corriente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Otros Productos que generan Ingresos Corrientes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Ingresos Propios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Los ingresos académicos de la Universidad son contabilizados conforme se cobran, los periodos con más captación son los de inscripciones,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reinscripciones, exámenes y propedéuticos. Los ingresos de fuentes privadas se refieren a Donativos que la Institución recibe para el desarrollo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sus actividades. Los ingresos de Entidades Auxiliares, son aquellos que son generados por entidades creadas por la Institución para ofrecer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Servicios a la Comunidad Estudiantil y al público en general. La cuenta de Otros Ingresos contempla el registro de diversos conceptos originados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por actividades administrativas, realizadas por dependencias de la Administración Central. Al cierre del ejercicio fiscal de diciembre 2017  el rubro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contable de ingresos se compone de: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CUENTA                                                                                   IMPORTE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INGRESOS ACADEMICOS                                                                        $  233,364,600.55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INGRESOS DE FUENTES PRIVADAS                                                               7,474,909.80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INGRESOS DE ENTIDADES AUXILIARES                                                      85,092,225.67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INGRESOS DE VINCULACIÓN TECNOLOGICA                                               5,321,692.14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OTROS INGRESOS                                                                                         91,496,043.81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Ingresos Financieros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Intereses Generados de Valores, Créditos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Intereses 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 on los rendimientos obtenidos de la inversión de recursos en fondos de inversión . La cuenta contable está integrada por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 cuentas, una para cada cuenta bancaria con la que se tenga aperturado el contrato de inversión. El total acumulado al 31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diciembre del 2017,  ascendió a: $ 26,942,165.19.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Gastos y Otras Pérdidas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Gastos de Funcionamiento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Servicios Personales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partida incluye los sueldos para el personal docente y administrativo, así como remuneraciones adicionales y especiales, Prestaciones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Sociales y Económicas, Estímulos, y para el ejercicio terminado al 31 de diciembre de 2017 llegó al acumulado de: $ 1'576,534,175.77.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Materiales y Suministros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 la realización de las actividades propias de la docencia, investigación y administración se requiere una serie de insumos, materiales,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productos químicos,combustibles, refacciones y accesorios, herramientas, etc., los que se encuentran contenidos en el rubro de materiales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y suministros, que al término del ejercicio fiscal de diciembre de 2016 acumularon un total de: $ 131'671,232.68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Servicios Generales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Este rubro se refiere a los servicios básicos con que debe contar una entidad para el desarrollo de sus actividades, se compone de energía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electrica telefonía, agua de la red CEA, servicios de jardinería, fumigación, servicios de traslado, fletes y otros, al 31 de diciembre de 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alcanzó un importe acumulado de: $ 220,324,614.69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Ayudas Sociales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Becas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partida contable está integrada por los apoyos o ayudas económicas dirigidos a la comunidad estudiantil, en diferentes modalidades tales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como: Movilidad Estudiantil, Prácticas Profesionales, Becas a Madres Solteras, Becas a Estudiantes con Discapacidad, etc., al cierre del ejercicio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ejerccio fiscal que terminó el 31 de diciembre de 2017, llegó a un importe total de: $ 40'427,577.60.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Pensiones y Jubilaciones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Esta cuenta agrupa a aquellas partidas que por su naturaleza son derivadas de las obligaciones contractuales que se tienen cone el personalno encajaron en el Plan de Cuentas CONAC (Consejo Nacional de Armonizació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pensionado por incapacidad por parte del ISSS, Pensionados por Viudez u Orfandad estos derivsdos de los contratos colectivos así como del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personal jubilado por la institución. El egreso al 31 de diciembre de 2017 ascendió a: $ 611'416,987.83.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Estimaciones y Depreciaciones, Deteriodos, Obsolencia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institución apegando a los lineamientos establecidos por la CONAC (Consejo Nacional de Armonización Contable) a partir del del ejercicio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 2016 inicío a depreciar y amortizar todos los bienes propiedad de la institución y al 31 de diciembre del 2017 se tuvo una deprecciación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por un importe de $ 25,958,896.00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AL ESTADO DE FLUJOS DE EFECTIVO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Efectivo y Equivalentes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Análisis de los saldos inicial y final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CUENTA                                                                                      ACUM AL 31-DIC-2017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EFECTIVO EN BANCOS -TESORERIA                                                                              266,778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EFECTIVO EN BANCOS DEPENDENCIAS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INVERSIONES TEMPORALES (HASTA 3 MESES)                                                             316,516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FONDOS CON AFECTACIÓN ESPECIFICA                                                                            1,212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DEPOSITOS DE FONDOS DE TERCEROS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TOTAL DE EFECTIVO Y EQUIVALENTES                                                                           584,506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cifras en miles de pesos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 adquisiciones de bienes muebles e inmuebles para el ejercicio fiscal al 31 de diciembre 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CUENTA                                                                                      ACUM AL 31-DIC-2017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BIENES INMUEBLES                                                                                                      1,662,058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BIENES MUEBLES                                                                                                          1,501,349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TOTAL DE BIENES INMUEBLES Y MUEBLES *                                                             3,163,406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cifras en miles de pesos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Conciliación de Flujos de Efectivo Netos de las Actividades de Operación y la Cuenta de Ahorro/Desahorro*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CUENTA                                                                                                                       ACUM. AL 31-12-2017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         AHORRO DESAHORRO ANTES RUBROS EXTRAORDINARIOS                                          42,052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MOVIMIENTOS DE PARTIDAS QUE NO AFECTAN AL EFECTIVO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DEPRECIACIÓN                                                                                                                      31,174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AMORTIZACIÓN                                                                                                                          289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INCREMENTO EN LAS PROVISIONES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INCREMENTO EN INVERSIONES POR REVALUACIÓN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GANANCIA/PERDIDA EN VENTA DE PROPIEDAD, PLANTA Y EQUIPO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INCREMENTO EN CUENTAS POR COBRAR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PARTIDAS EXTRAORDINARIAS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cifras en miles de pesos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MEMORIA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de Memoria (Cuentas de Orden)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Cuentas de Orden Contables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 Universidad implementó la práctica contable de registrar en Cuentas de Orden para fines de control, así como para reflejar fondos a favor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terceros. A continuación se relacionan las Cuentas de Orden Contables: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CUENTA                                                                                                                       ACUM. AL 31-12-2017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DEUDORES POR COMPROBANTES                                                                             $             890,119.73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CUENTAS DE CHEQUES EN MONEDA EXTRANJERA                                                                       58,664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PROYECTOS FOMES 95-96                                                                                                                 24,864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BECAS POR INSCRIPCIÓN Y PRESTACIÓN                                                                               189,259,551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ESTIMACIÓN P/JUBILACIONES Y RENUNCIAS                                                                 2,988,460,952.87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         ESTIMACIÓN P/ADEUDOS CEA                                                                                                    13,694,423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Cuentas de Orden Presupuestarias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Desde el año 2010 la Universidad implementó el uso de las Cuentas de Orden Presupuestarias, para dar a conocer las afectaciones al presu-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puesto en sus diferentes momentos, la integración al 31 de diciembre de 2017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LEY DE INGRESOS POR EJECUTAR                                                                                    $     -2,241,569,857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MODIFICACIONES A LA LEY DE INGRESOS ESTIMADA                                                            2,241,588,403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LEY DE INGRESOS DEVENGADA                                                                                                                      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LEY DE INGRESOS RECAUDADA                                                                                                -           18,545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APROBADO                                                                             -  2,241,588,391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POR EJERCER                                                                               583,603,611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MODIFICACIONES AL PRESUPUESTO DE EGRESOS APROBADO                                       -  1,602,076,206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COMPROMETIDO                                                                         350,852,351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DEVENGADO                                                                                   11,888,720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EJERCIDO                                                                                      241,954,896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PRESUPUESTO DE EGRESOS PAGADO                                                                                      2,655,365,019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GESTION ADMINISTRATIVA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Notas de Gestión Administrativa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Autorización e Historia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Autónoma de Querétaro, fue creada en el año de 1951 por Decreto del Gobierno del Estado de Querétaro, como un organismo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público descentralizado dotado de Autonomía para gobernarse, con Personalidad Jurídica y Patrimonio propio.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En cuanto a su estructura, está constituida por el Máximo Órgano de Gobierno siendo éste el Consejo Universitario, los Comités que dependen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dicho consejo, el Rector, y una serie de Dependencias Administrativas subordinadas a la Rectoría y las Facultades y Escuelas.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Organización y Objeto Social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 objeto social es establecer un centro educativo de enseñanza media y superior, sin perseguir fines de lucro con la misión: Formar profesio-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nales que respondan a las necesidades de la sociedad; desarrollar investigación humanística y científica, tanto básica como aplicada, atendiendo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primordialmente a los problemas estatales, regionales; crear, preservar y difundir la cultura, así como la divulgación del conocimiento, ser agente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cambio y promotor social a través de sus tareas sustantivas.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 Universidad Autónoma realiza sus operaciones o actividades económicas y de docencia, basada en el ejercicio fiscal similar al del año de 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calendario, esto es del 01 de enero al 31 de diciembre.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Régimen Jurídico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 relación al marco jurídico en el que la institución se desenvuelve, es apegándose a los siguientes ordenamientos: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Constitución Política de los Estados Unidos Mexicanos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Constitución Política del Estado de Querétaro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Ley de Educación del Estado de Querétaro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Ley Estatal de Acceso a la Información Gubernamental en el Estado de Querétaro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Ley Orgánica de la Universidad Autónoma de Querétaro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Estatuto Orgánico de la Universidad Autónoma de Querétaro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Consideraciones Fiscales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de acuerdo al objeto social que desarrolla y al marco legal en que se encuentra,  es contribuyente del Impuesto Sobre la Renta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Renta de las Personas Morales con fines no lucrativos y esta exenta del Impuesto al Valor Agregado y del Impuesto al Activo, sus principales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obligaciones tributarias son la Retención y Entero del Impuesto sobre la Renta sobre sueldos, honorarios y arrendamientos, pago de Cuotas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 Instituto del Fondo Nacional de la Vivienda para los Trabajadores y al Sistema de Ahorro para el Retiro.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Fideicomisos y Mandatos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La Universidad Autónoma de Querétaro, constituyó mediante contrato, 3 Fideicomisos para el manejo de los Fondos de Jubilaciones y Pensiones,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los que se formalizaron a través de los Contratos 0302029 para el Sindicato Único de Personal Académico, 0302037 para el Personal Administrativo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 Confianza, y 741566 para el Personal Administrativo Sindicalizado STEUAQ, todos los contratos se signaron con el Banco Mercantil del Norte,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División Fiduciaria.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Bases de Preparación de los Estados Financieros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Los Estados Financieros se elaboraron apegándose y respetando el Manual de Contabilidad Gubernamental y la Normatividad del Consejo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Nacional de Amornización Contable CONAC.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Políticas de Contabilidad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 Inversiones Temporales (hasta 3 meses)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 inversiones temporales se registran al valor de mercado más sus rendimientos devengados. La Institución adoptó la política de invertir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recursos en Fondos de Inversión 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Los inventarios de los almacenes has sido registrados al valor de mercado, y valuados bajo el método de Costo Promedio.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El mobiliario y equipo es registrado a su costo de adquisición, tomando el impuesto al valor agregado como parte del costo.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Los ingresos por subsidios se registran en forma mensual, cuando se reciben, de acuerdo a las ministraciones acordadas con el Gobierno del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Estado, previa firma de los convenios correspondientes.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 Resultados de Ejercicios Anteriores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Universidad aplica el criterio de afectar a la cuenta de Rectificaciones de Resultados de Ejercicios Anteriores, cuando son de su conocimiento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 le son notificadas operaciones que se debieron haber registrado en ejercicios anteriores.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00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6110F" w:rsidTr="0086110F">
        <w:trPr>
          <w:trHeight w:val="315"/>
        </w:trPr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10F" w:rsidRDefault="00861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611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I. Alejandro Jáuregui Sánchez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611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Correa Yáñez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6110F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6110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Contabilidad General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F5" w:rsidRDefault="00BC37F5">
      <w:r>
        <w:separator/>
      </w:r>
    </w:p>
  </w:endnote>
  <w:endnote w:type="continuationSeparator" w:id="0">
    <w:p w:rsidR="00BC37F5" w:rsidRDefault="00B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6110F">
      <w:rPr>
        <w:rFonts w:ascii="Avenir LT Std 45 Book" w:hAnsi="Avenir LT Std 45 Book" w:cs="Arial"/>
        <w:noProof/>
        <w:color w:val="808080"/>
        <w:szCs w:val="20"/>
      </w:rPr>
      <w:t>16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6110F">
      <w:rPr>
        <w:rFonts w:ascii="Avenir LT Std 45 Book" w:hAnsi="Avenir LT Std 45 Book" w:cs="Arial"/>
        <w:noProof/>
        <w:color w:val="808080"/>
        <w:szCs w:val="20"/>
      </w:rPr>
      <w:t>16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6110F">
      <w:rPr>
        <w:rFonts w:ascii="Avenir LT Std 45 Book" w:hAnsi="Avenir LT Std 45 Book" w:cs="Arial"/>
        <w:noProof/>
        <w:color w:val="808080"/>
        <w:szCs w:val="20"/>
      </w:rPr>
      <w:t>15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6110F">
      <w:rPr>
        <w:rFonts w:ascii="Avenir LT Std 45 Book" w:hAnsi="Avenir LT Std 45 Book" w:cs="Arial"/>
        <w:noProof/>
        <w:color w:val="808080"/>
        <w:szCs w:val="20"/>
      </w:rPr>
      <w:t>16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F5" w:rsidRDefault="00BC37F5">
      <w:r>
        <w:separator/>
      </w:r>
    </w:p>
  </w:footnote>
  <w:footnote w:type="continuationSeparator" w:id="0">
    <w:p w:rsidR="00BC37F5" w:rsidRDefault="00BC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US" w:eastAsia="es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01648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01648C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86110F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AUT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65AE4" wp14:editId="7069A3C8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ÓNOMA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48C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C82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8B8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0D4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44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6305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284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10F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37F5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DFB37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E90824A-2C36-4343-824E-402FDDBB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5822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Finanzas</cp:lastModifiedBy>
  <cp:revision>2</cp:revision>
  <cp:lastPrinted>2014-03-13T03:19:00Z</cp:lastPrinted>
  <dcterms:created xsi:type="dcterms:W3CDTF">2018-02-15T20:37:00Z</dcterms:created>
  <dcterms:modified xsi:type="dcterms:W3CDTF">2018-02-15T20:37:00Z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