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8005DF" w:rsidRPr="008005DF">
        <w:rPr>
          <w:rFonts w:ascii="Arial" w:hAnsi="Arial" w:cs="Arial"/>
          <w:b/>
          <w:sz w:val="17"/>
          <w:szCs w:val="17"/>
        </w:rPr>
        <w:t>INSTITUTO DE INFRAESTRUCTURA FÍSICA EDUCATIVA DEL ESTADO DE QUERÉTARO</w:t>
      </w: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tbl>
      <w:tblPr>
        <w:tblW w:w="48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6"/>
        <w:gridCol w:w="2410"/>
        <w:gridCol w:w="1985"/>
      </w:tblGrid>
      <w:tr w:rsidR="00924C30" w:rsidRPr="008005DF" w:rsidTr="008005DF">
        <w:trPr>
          <w:trHeight w:val="255"/>
        </w:trPr>
        <w:tc>
          <w:tcPr>
            <w:tcW w:w="3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8005DF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8005D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Fondo, Programa o Convenio</w:t>
            </w:r>
          </w:p>
        </w:tc>
        <w:tc>
          <w:tcPr>
            <w:tcW w:w="16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8005DF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8005D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Datos de la Cuenta Bancaria</w:t>
            </w:r>
          </w:p>
        </w:tc>
      </w:tr>
      <w:tr w:rsidR="008005DF" w:rsidRPr="008005DF" w:rsidTr="008005DF">
        <w:trPr>
          <w:trHeight w:val="255"/>
        </w:trPr>
        <w:tc>
          <w:tcPr>
            <w:tcW w:w="3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8005DF" w:rsidRDefault="00924C30" w:rsidP="00924C30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8005DF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8005D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Institución Bancaria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8005DF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8005DF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Número de Cuenta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Fondo de Aportaciones Múltiples en el nivel Básica 2017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Banco </w:t>
            </w:r>
            <w:proofErr w:type="spellStart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Multiva</w:t>
            </w:r>
            <w:proofErr w:type="spellEnd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S.A.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6744419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Fondo de Aportaciones Múltiples en el nivel Media Superior 2017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BBVA Bancomer S.A.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110372048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Fondo de Aportaciones Múltiples en el nivel Superior 2017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BBVA Bancomer S.A.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110372072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AFEF 2017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Banco </w:t>
            </w:r>
            <w:proofErr w:type="spellStart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Multiva</w:t>
            </w:r>
            <w:proofErr w:type="spellEnd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S.A.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6733603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Fondo Minero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Banco </w:t>
            </w:r>
            <w:proofErr w:type="spellStart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Multiva</w:t>
            </w:r>
            <w:proofErr w:type="spellEnd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S.A.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7006977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Remanentes del Fondo de Aportaciones Múltiples en el nivel Básica 2017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Banco </w:t>
            </w:r>
            <w:proofErr w:type="spellStart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Multiva</w:t>
            </w:r>
            <w:proofErr w:type="spellEnd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S.A.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7071574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Cuenta Administrativa FAM Potenciado 2% indirectos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Banco </w:t>
            </w:r>
            <w:proofErr w:type="spellStart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Multiva</w:t>
            </w:r>
            <w:proofErr w:type="spellEnd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.S.A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6299897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PACTEN 2016 - PROFEN 2017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Banco </w:t>
            </w:r>
            <w:proofErr w:type="spellStart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Multiva</w:t>
            </w:r>
            <w:proofErr w:type="spellEnd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S.A.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6850707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Remanentes del Fondo de Aportaciones Múltiples en el Media Superior 2017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Banco </w:t>
            </w:r>
            <w:proofErr w:type="spellStart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Multiva</w:t>
            </w:r>
            <w:proofErr w:type="spellEnd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S.A.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7071566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Remanentes del Fondo de Aportaciones Múltiples en el Superior 2017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Banco </w:t>
            </w:r>
            <w:proofErr w:type="spellStart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Multiva</w:t>
            </w:r>
            <w:proofErr w:type="spellEnd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S.A.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7071531</w:t>
            </w:r>
          </w:p>
        </w:tc>
      </w:tr>
      <w:tr w:rsidR="008005DF" w:rsidRPr="008005DF" w:rsidTr="008005DF">
        <w:trPr>
          <w:trHeight w:val="284"/>
        </w:trPr>
        <w:tc>
          <w:tcPr>
            <w:tcW w:w="3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both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FAM Potenciado (CIEN)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Banco </w:t>
            </w:r>
            <w:proofErr w:type="spellStart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Multiva</w:t>
            </w:r>
            <w:proofErr w:type="spellEnd"/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 S.A.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5DF" w:rsidRPr="008005DF" w:rsidRDefault="008005DF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8005DF">
              <w:rPr>
                <w:rFonts w:ascii="Calibri" w:hAnsi="Calibri" w:cs="Calibri"/>
                <w:color w:val="000000"/>
                <w:sz w:val="22"/>
                <w:szCs w:val="20"/>
              </w:rPr>
              <w:t>5468717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670"/>
        <w:gridCol w:w="4002"/>
      </w:tblGrid>
      <w:tr w:rsidR="008005DF" w:rsidRPr="005B42BC" w:rsidTr="001170BA">
        <w:trPr>
          <w:trHeight w:val="5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005DF" w:rsidRPr="005B42BC" w:rsidRDefault="008005DF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Ing. Vicente Ortega González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005DF" w:rsidRPr="005B42BC" w:rsidRDefault="008005DF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C.P. Miguel Ángel Muñoz Cázares</w:t>
            </w:r>
          </w:p>
        </w:tc>
        <w:tc>
          <w:tcPr>
            <w:tcW w:w="4002" w:type="dxa"/>
            <w:shd w:val="clear" w:color="000000" w:fill="FFFFFF"/>
            <w:vAlign w:val="center"/>
          </w:tcPr>
          <w:p w:rsidR="008005DF" w:rsidRPr="005B42BC" w:rsidRDefault="008005DF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M. en A. María Virginia Castro Gallardo</w:t>
            </w:r>
          </w:p>
        </w:tc>
      </w:tr>
      <w:tr w:rsidR="008005DF" w:rsidRPr="005B42BC" w:rsidTr="001170BA">
        <w:trPr>
          <w:trHeight w:val="51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8005DF" w:rsidRPr="005B42BC" w:rsidRDefault="008005DF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Director General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8005DF" w:rsidRPr="005B42BC" w:rsidRDefault="008005DF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Encargado del Despacho de la Dirección de Planeación y Administración de Obra</w:t>
            </w:r>
          </w:p>
        </w:tc>
        <w:tc>
          <w:tcPr>
            <w:tcW w:w="4002" w:type="dxa"/>
            <w:shd w:val="clear" w:color="000000" w:fill="FFFFFF"/>
            <w:vAlign w:val="center"/>
          </w:tcPr>
          <w:p w:rsidR="008005DF" w:rsidRPr="005B42BC" w:rsidRDefault="008005DF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Jefa de la Unidad de Finanzas y Administración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8005D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472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0C" w:rsidRDefault="00E31B0C">
      <w:r>
        <w:separator/>
      </w:r>
    </w:p>
  </w:endnote>
  <w:endnote w:type="continuationSeparator" w:id="0">
    <w:p w:rsidR="00E31B0C" w:rsidRDefault="00E3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174ECD" wp14:editId="7136D78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005D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C510C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3B55C" wp14:editId="5CB13C06">
              <wp:simplePos x="0" y="0"/>
              <wp:positionH relativeFrom="margin">
                <wp:posOffset>-12065</wp:posOffset>
              </wp:positionH>
              <wp:positionV relativeFrom="page">
                <wp:posOffset>7114540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.95pt;margin-top:560.2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 xml:space="preserve">RELACIÓN DE </w:t>
    </w:r>
    <w:r w:rsidR="008005DF">
      <w:rPr>
        <w:rFonts w:ascii="Avenir LT Std 45 Book" w:hAnsi="Avenir LT Std 45 Book" w:cs="Arial"/>
        <w:color w:val="808080"/>
        <w:szCs w:val="20"/>
      </w:rPr>
      <w:t>CUENTAS BANCARIAS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C510C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C510C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0C" w:rsidRDefault="00E31B0C">
      <w:r>
        <w:separator/>
      </w:r>
    </w:p>
  </w:footnote>
  <w:footnote w:type="continuationSeparator" w:id="0">
    <w:p w:rsidR="00E31B0C" w:rsidRDefault="00E3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841A4D5" wp14:editId="795D57CB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FDED7A" wp14:editId="048C1600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4A5B7" wp14:editId="37C61B4C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1206D4" wp14:editId="3C9CD326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8005DF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8005DF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INSTITUTO DE INFRAESTRUCTURA FÍSICA EDUCATIVA DEL ESTADO DE QUERÉTARO 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D345D" wp14:editId="7DAED2A3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5DF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151E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510C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B0C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3D3E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F80269B-6503-44E6-8334-CF4C7736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planea03</cp:lastModifiedBy>
  <cp:revision>7</cp:revision>
  <cp:lastPrinted>2018-02-12T23:15:00Z</cp:lastPrinted>
  <dcterms:created xsi:type="dcterms:W3CDTF">2017-01-28T20:37:00Z</dcterms:created>
  <dcterms:modified xsi:type="dcterms:W3CDTF">2018-02-12T23:27:00Z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