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9B2EA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E6028B">
        <w:rPr>
          <w:rFonts w:ascii="Arial" w:hAnsi="Arial" w:cs="Arial"/>
          <w:b/>
          <w:sz w:val="17"/>
          <w:szCs w:val="17"/>
        </w:rPr>
        <w:t>INSTITUTO ISTITUTO QUERETANO DEL TRANSPORTE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9B2EA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8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7447"/>
        <w:gridCol w:w="2937"/>
      </w:tblGrid>
      <w:tr w:rsidR="00F156C7" w:rsidTr="00641579">
        <w:trPr>
          <w:trHeight w:val="24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641579">
        <w:trPr>
          <w:trHeight w:val="24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6415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12310-581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64157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TERRENO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64157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36,000,000.00</w:t>
            </w:r>
          </w:p>
        </w:tc>
      </w:tr>
      <w:tr w:rsidR="00F156C7" w:rsidTr="00641579">
        <w:trPr>
          <w:trHeight w:val="24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641579">
        <w:trPr>
          <w:trHeight w:val="24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641579">
        <w:trPr>
          <w:trHeight w:val="24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641579">
        <w:trPr>
          <w:trHeight w:val="24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641579">
        <w:trPr>
          <w:trHeight w:val="24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641579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   36,000,000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.00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  <w:bookmarkStart w:id="0" w:name="_GoBack"/>
      <w:bookmarkEnd w:id="0"/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9C5B59" w:rsidRPr="002D70DA" w:rsidRDefault="009C5B59" w:rsidP="009C5B59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t>__________________________________</w:t>
      </w:r>
    </w:p>
    <w:p w:rsidR="009C5B59" w:rsidRPr="00B55F91" w:rsidRDefault="009C5B59" w:rsidP="009C5B59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Cs/>
          <w:iCs/>
          <w:sz w:val="17"/>
          <w:szCs w:val="17"/>
          <w:lang w:eastAsia="es-ES"/>
        </w:rPr>
      </w:pPr>
      <w:r w:rsidRPr="00B55F91">
        <w:rPr>
          <w:rFonts w:ascii="Arial" w:hAnsi="Arial" w:cs="Arial"/>
          <w:bCs/>
          <w:iCs/>
          <w:sz w:val="17"/>
          <w:szCs w:val="17"/>
          <w:lang w:eastAsia="es-ES"/>
        </w:rPr>
        <w:t>Lic. Ana María Osornio Arellano</w:t>
      </w:r>
    </w:p>
    <w:p w:rsidR="009C5B59" w:rsidRDefault="009C5B59" w:rsidP="009C5B59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t xml:space="preserve">  </w:t>
      </w:r>
      <w:r w:rsidRPr="00B55F91">
        <w:rPr>
          <w:rFonts w:ascii="Arial" w:hAnsi="Arial" w:cs="Arial"/>
          <w:bCs/>
          <w:iCs/>
          <w:sz w:val="17"/>
          <w:szCs w:val="17"/>
          <w:lang w:eastAsia="es-ES"/>
        </w:rPr>
        <w:t>Coordinadora Administrativa</w:t>
      </w:r>
    </w:p>
    <w:p w:rsidR="008053D2" w:rsidRDefault="009C5B59" w:rsidP="009C5B59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t xml:space="preserve">   Instituto Queretano del Transporte</w:t>
      </w:r>
    </w:p>
    <w:sectPr w:rsidR="008053D2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F8" w:rsidRDefault="00BB55F8">
      <w:r>
        <w:separator/>
      </w:r>
    </w:p>
  </w:endnote>
  <w:endnote w:type="continuationSeparator" w:id="0">
    <w:p w:rsidR="00BB55F8" w:rsidRDefault="00BB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5ABE60E" wp14:editId="6EA57768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41579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41579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E2C631" wp14:editId="02DA37EC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9C5B59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9C5B59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F8" w:rsidRDefault="00BB55F8">
      <w:r>
        <w:separator/>
      </w:r>
    </w:p>
  </w:footnote>
  <w:footnote w:type="continuationSeparator" w:id="0">
    <w:p w:rsidR="00BB55F8" w:rsidRDefault="00BB5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312B614F" wp14:editId="6840F268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A07067" wp14:editId="0C04D31F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4A56DB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4A56DB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40C7A" wp14:editId="71FF7158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AC32AE" wp14:editId="3C2124D6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8F07AC" wp14:editId="30263AD6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E6028B">
      <w:rPr>
        <w:rFonts w:ascii="Avenir LT Std 45 Book" w:hAnsi="Avenir LT Std 45 Book"/>
        <w:b/>
        <w:color w:val="808080"/>
        <w:sz w:val="20"/>
        <w:szCs w:val="20"/>
      </w:rPr>
      <w:t>INSTITUTO QUERETANO DEL TRANSPORTE</w:t>
    </w:r>
  </w:p>
  <w:p w:rsidR="00E6028B" w:rsidRPr="00CF00D0" w:rsidRDefault="00E6028B" w:rsidP="00E6028B">
    <w:pPr>
      <w:rPr>
        <w:rFonts w:ascii="Avenir LT Std 45 Book" w:hAnsi="Avenir LT Std 45 Book"/>
        <w:b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1FE1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43D7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1579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2EAE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5B59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5F8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028B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71BD102-DCB3-43D0-B38D-F76AF893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Area Administracion de Recursos</cp:lastModifiedBy>
  <cp:revision>4</cp:revision>
  <cp:lastPrinted>2014-03-13T03:19:00Z</cp:lastPrinted>
  <dcterms:created xsi:type="dcterms:W3CDTF">2018-01-23T15:27:00Z</dcterms:created>
  <dcterms:modified xsi:type="dcterms:W3CDTF">2018-01-23T15:53:00Z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