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F94861">
        <w:rPr>
          <w:rFonts w:ascii="Arial" w:hAnsi="Arial" w:cs="Arial"/>
          <w:b/>
          <w:sz w:val="17"/>
          <w:szCs w:val="17"/>
        </w:rPr>
        <w:t>INSTITUTO DE LA VIVIENDA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83434">
            <w:pPr>
              <w:rPr>
                <w:rFonts w:ascii="Arial" w:hAnsi="Arial" w:cs="Arial"/>
                <w:color w:val="000000"/>
                <w:sz w:val="17"/>
                <w:szCs w:val="17"/>
              </w:rPr>
            </w:pPr>
            <w:r>
              <w:rPr>
                <w:rFonts w:ascii="Arial" w:hAnsi="Arial" w:cs="Arial"/>
                <w:color w:val="000000"/>
                <w:sz w:val="17"/>
                <w:szCs w:val="17"/>
              </w:rPr>
              <w:t>FONDO DE VIVIENDA</w:t>
            </w:r>
            <w:r w:rsidR="002F1704"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83434">
            <w:pPr>
              <w:jc w:val="center"/>
              <w:rPr>
                <w:rFonts w:ascii="Arial" w:hAnsi="Arial" w:cs="Arial"/>
                <w:b/>
                <w:bCs/>
                <w:color w:val="000000"/>
                <w:sz w:val="17"/>
                <w:szCs w:val="17"/>
              </w:rPr>
            </w:pPr>
            <w:r>
              <w:rPr>
                <w:rFonts w:ascii="Arial" w:hAnsi="Arial" w:cs="Arial"/>
                <w:b/>
                <w:bCs/>
                <w:color w:val="000000"/>
                <w:sz w:val="17"/>
                <w:szCs w:val="17"/>
              </w:rPr>
              <w:t>GASTO VIVIENDA</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83434" w:rsidRPr="002D70DA" w:rsidRDefault="00583434" w:rsidP="00583434">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656,551.61</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83434" w:rsidRPr="002D70DA" w:rsidRDefault="00583434">
            <w:pPr>
              <w:rPr>
                <w:rFonts w:ascii="Arial" w:hAnsi="Arial" w:cs="Arial"/>
                <w:color w:val="000000"/>
                <w:sz w:val="17"/>
                <w:szCs w:val="17"/>
              </w:rPr>
            </w:pPr>
            <w:r>
              <w:rPr>
                <w:rFonts w:ascii="Arial" w:hAnsi="Arial" w:cs="Arial"/>
                <w:color w:val="000000"/>
                <w:sz w:val="17"/>
                <w:szCs w:val="17"/>
              </w:rPr>
              <w:t>LOTES SERVIDOS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583434">
              <w:rPr>
                <w:rFonts w:ascii="Arial" w:hAnsi="Arial" w:cs="Arial"/>
                <w:b/>
                <w:bCs/>
                <w:color w:val="000000"/>
                <w:sz w:val="17"/>
                <w:szCs w:val="17"/>
              </w:rPr>
              <w:t>GASTO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83434" w:rsidP="00583434">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509,385.33</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83434">
            <w:pPr>
              <w:rPr>
                <w:rFonts w:ascii="Arial" w:hAnsi="Arial" w:cs="Arial"/>
                <w:color w:val="000000"/>
                <w:sz w:val="17"/>
                <w:szCs w:val="17"/>
              </w:rPr>
            </w:pPr>
            <w:r>
              <w:rPr>
                <w:rFonts w:ascii="Arial" w:hAnsi="Arial" w:cs="Arial"/>
                <w:color w:val="000000"/>
                <w:sz w:val="17"/>
                <w:szCs w:val="17"/>
              </w:rPr>
              <w:t>SUBSIDIOS ESTATALES PROGRAMAS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583434">
              <w:rPr>
                <w:rFonts w:ascii="Arial" w:hAnsi="Arial" w:cs="Arial"/>
                <w:b/>
                <w:bCs/>
                <w:color w:val="000000"/>
                <w:sz w:val="17"/>
                <w:szCs w:val="17"/>
              </w:rPr>
              <w:t>GASTO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83434">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1,056,785.75</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83434">
            <w:pPr>
              <w:rPr>
                <w:rFonts w:ascii="Arial" w:hAnsi="Arial" w:cs="Arial"/>
                <w:color w:val="000000"/>
                <w:sz w:val="17"/>
                <w:szCs w:val="17"/>
              </w:rPr>
            </w:pPr>
            <w:r>
              <w:rPr>
                <w:rFonts w:ascii="Arial" w:hAnsi="Arial" w:cs="Arial"/>
                <w:color w:val="000000"/>
                <w:sz w:val="17"/>
                <w:szCs w:val="17"/>
              </w:rPr>
              <w:t>SUBSIDIOS FEDERALES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583434">
              <w:rPr>
                <w:rFonts w:ascii="Arial" w:hAnsi="Arial" w:cs="Arial"/>
                <w:b/>
                <w:bCs/>
                <w:color w:val="000000"/>
                <w:sz w:val="17"/>
                <w:szCs w:val="17"/>
              </w:rPr>
              <w:t>GASTO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83434">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1,349,940.88</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83434">
            <w:pPr>
              <w:rPr>
                <w:rFonts w:ascii="Arial" w:hAnsi="Arial" w:cs="Arial"/>
                <w:color w:val="000000"/>
                <w:sz w:val="17"/>
                <w:szCs w:val="17"/>
              </w:rPr>
            </w:pPr>
            <w:r>
              <w:rPr>
                <w:rFonts w:ascii="Arial" w:hAnsi="Arial" w:cs="Arial"/>
                <w:color w:val="000000"/>
                <w:sz w:val="17"/>
                <w:szCs w:val="17"/>
              </w:rPr>
              <w:t>SUBSIDIOS MUNICIPALES E IVEQ PROGRAMAS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583434">
              <w:rPr>
                <w:rFonts w:ascii="Arial" w:hAnsi="Arial" w:cs="Arial"/>
                <w:b/>
                <w:bCs/>
                <w:color w:val="000000"/>
                <w:sz w:val="17"/>
                <w:szCs w:val="17"/>
              </w:rPr>
              <w:t>GASTO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83434">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2,111,588.98</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83434">
            <w:pPr>
              <w:rPr>
                <w:rFonts w:ascii="Arial" w:hAnsi="Arial" w:cs="Arial"/>
                <w:color w:val="000000"/>
                <w:sz w:val="17"/>
                <w:szCs w:val="17"/>
              </w:rPr>
            </w:pPr>
            <w:r>
              <w:rPr>
                <w:rFonts w:ascii="Arial" w:hAnsi="Arial" w:cs="Arial"/>
                <w:color w:val="000000"/>
                <w:sz w:val="17"/>
                <w:szCs w:val="17"/>
              </w:rPr>
              <w:t>PROGRAMA DE REGURALIZACIÓN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583434">
              <w:rPr>
                <w:rFonts w:ascii="Arial" w:hAnsi="Arial" w:cs="Arial"/>
                <w:b/>
                <w:bCs/>
                <w:color w:val="000000"/>
                <w:sz w:val="17"/>
                <w:szCs w:val="17"/>
              </w:rPr>
              <w:t>GASTO VIVIENDA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83434">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87,650.40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F87C73">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F87C73">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704" w:rsidRPr="002D70DA" w:rsidRDefault="00511394" w:rsidP="00F87C73">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xml:space="preserve">$   </w:t>
            </w:r>
            <w:r w:rsidR="00F87C73">
              <w:rPr>
                <w:rFonts w:ascii="Arial" w:hAnsi="Arial" w:cs="Arial"/>
                <w:b/>
                <w:bCs/>
                <w:noProof/>
                <w:color w:val="000000"/>
                <w:sz w:val="17"/>
                <w:szCs w:val="17"/>
                <w14:numForm w14:val="lining"/>
              </w:rPr>
              <w:t>5,771,9</w:t>
            </w:r>
            <w:r w:rsidR="00756556" w:rsidRPr="002D70DA">
              <w:rPr>
                <w:rFonts w:ascii="Arial" w:hAnsi="Arial" w:cs="Arial"/>
                <w:b/>
                <w:bCs/>
                <w:noProof/>
                <w:color w:val="000000"/>
                <w:sz w:val="17"/>
                <w:szCs w:val="17"/>
                <w14:numForm w14:val="lining"/>
              </w:rPr>
              <w:t>0</w:t>
            </w:r>
            <w:r w:rsidR="00F87C73">
              <w:rPr>
                <w:rFonts w:ascii="Arial" w:hAnsi="Arial" w:cs="Arial"/>
                <w:b/>
                <w:bCs/>
                <w:noProof/>
                <w:color w:val="000000"/>
                <w:sz w:val="17"/>
                <w:szCs w:val="17"/>
                <w14:numForm w14:val="lining"/>
              </w:rPr>
              <w:t>2</w:t>
            </w:r>
            <w:r w:rsidR="00756556" w:rsidRPr="002D70DA">
              <w:rPr>
                <w:rFonts w:ascii="Arial" w:hAnsi="Arial" w:cs="Arial"/>
                <w:b/>
                <w:bCs/>
                <w:noProof/>
                <w:color w:val="000000"/>
                <w:sz w:val="17"/>
                <w:szCs w:val="17"/>
                <w14:numForm w14:val="lining"/>
              </w:rPr>
              <w:t>.</w:t>
            </w:r>
            <w:r w:rsidR="00F87C73">
              <w:rPr>
                <w:rFonts w:ascii="Arial" w:hAnsi="Arial" w:cs="Arial"/>
                <w:b/>
                <w:bCs/>
                <w:noProof/>
                <w:color w:val="000000"/>
                <w:sz w:val="17"/>
                <w:szCs w:val="17"/>
                <w14:numForm w14:val="lining"/>
              </w:rPr>
              <w:t>95</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F87C73">
              <w:rPr>
                <w:rFonts w:ascii="Arial" w:hAnsi="Arial" w:cs="Arial"/>
                <w:color w:val="000000"/>
                <w:sz w:val="17"/>
                <w:szCs w:val="17"/>
              </w:rPr>
              <w:t>BBVA BANCOMER CTA. 0443098613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87C73">
            <w:pPr>
              <w:jc w:val="right"/>
              <w:rPr>
                <w:rFonts w:ascii="Arial" w:hAnsi="Arial" w:cs="Arial"/>
                <w:b/>
                <w:bCs/>
                <w:color w:val="000000"/>
                <w:sz w:val="17"/>
                <w:szCs w:val="17"/>
              </w:rPr>
            </w:pPr>
            <w:r>
              <w:rPr>
                <w:rFonts w:ascii="Arial" w:hAnsi="Arial" w:cs="Arial"/>
                <w:b/>
                <w:bCs/>
                <w:color w:val="000000"/>
                <w:sz w:val="17"/>
                <w:szCs w:val="17"/>
              </w:rPr>
              <w:t>672.01</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87C73">
            <w:pPr>
              <w:jc w:val="center"/>
              <w:rPr>
                <w:rFonts w:ascii="Arial" w:hAnsi="Arial" w:cs="Arial"/>
                <w:b/>
                <w:bCs/>
                <w:color w:val="000000"/>
                <w:sz w:val="17"/>
                <w:szCs w:val="17"/>
              </w:rPr>
            </w:pPr>
            <w:r>
              <w:rPr>
                <w:rFonts w:ascii="Arial" w:hAnsi="Arial" w:cs="Arial"/>
                <w:b/>
                <w:bCs/>
                <w:color w:val="000000"/>
                <w:sz w:val="17"/>
                <w:szCs w:val="17"/>
              </w:rPr>
              <w:t>30 DIAS</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 0184467949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right"/>
              <w:rPr>
                <w:rFonts w:ascii="Arial" w:hAnsi="Arial" w:cs="Arial"/>
                <w:b/>
                <w:bCs/>
                <w:color w:val="000000"/>
                <w:sz w:val="17"/>
                <w:szCs w:val="17"/>
              </w:rPr>
            </w:pPr>
            <w:r>
              <w:rPr>
                <w:rFonts w:ascii="Arial" w:hAnsi="Arial" w:cs="Arial"/>
                <w:b/>
                <w:bCs/>
                <w:color w:val="000000"/>
                <w:sz w:val="17"/>
                <w:szCs w:val="17"/>
              </w:rPr>
              <w:t>563,361.54</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0F30AB">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 0188416583 (ESTATAL 3346)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958,382.44</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F94861">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 0197101007 (</w:t>
            </w:r>
            <w:r w:rsidR="00F94861">
              <w:rPr>
                <w:rFonts w:ascii="Arial" w:hAnsi="Arial" w:cs="Arial"/>
                <w:color w:val="000000"/>
                <w:sz w:val="17"/>
                <w:szCs w:val="17"/>
              </w:rPr>
              <w:t>PRAHIR</w:t>
            </w:r>
            <w:r w:rsidR="000F30AB">
              <w:rPr>
                <w:rFonts w:ascii="Arial" w:hAnsi="Arial" w:cs="Arial"/>
                <w:color w:val="000000"/>
                <w:sz w:val="17"/>
                <w:szCs w:val="17"/>
              </w:rPr>
              <w:t xml:space="preserve"> 3362)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212,357.85</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0104047095 (SAN JOAQUIN 3206)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F94861">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0104047427 (QUERETARO 3222)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0104047788 (EL MARQUÉS 3249)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F94861">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0104047869 (LANDA D MAT 3257)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1,105,050.49</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0104047958 (PINAL D AMOL3265)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0F30AB">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0104048113 (CADEREYTA 3273)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897,564.76</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0F30AB">
            <w:pPr>
              <w:jc w:val="center"/>
              <w:rPr>
                <w:rFonts w:ascii="Arial" w:hAnsi="Arial" w:cs="Arial"/>
                <w:b/>
                <w:bCs/>
                <w:color w:val="000000"/>
                <w:sz w:val="17"/>
                <w:szCs w:val="17"/>
              </w:rPr>
            </w:pPr>
            <w:r>
              <w:rPr>
                <w:rFonts w:ascii="Arial" w:hAnsi="Arial" w:cs="Arial"/>
                <w:b/>
                <w:bCs/>
                <w:color w:val="000000"/>
                <w:sz w:val="17"/>
                <w:szCs w:val="17"/>
              </w:rPr>
              <w:t>30 DIAS</w:t>
            </w:r>
            <w:r w:rsidRPr="002D70DA">
              <w:rPr>
                <w:rFonts w:ascii="Arial" w:hAnsi="Arial" w:cs="Arial"/>
                <w:b/>
                <w:bCs/>
                <w:color w:val="000000"/>
                <w:sz w:val="17"/>
                <w:szCs w:val="17"/>
              </w:rPr>
              <w:t> </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0F30AB">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0106557252 (PEÑAMILLER 3303)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951,158.24</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r w:rsidR="000F30AB">
              <w:rPr>
                <w:rFonts w:ascii="Arial" w:hAnsi="Arial" w:cs="Arial"/>
                <w:b/>
                <w:bCs/>
                <w:color w:val="000000"/>
                <w:sz w:val="17"/>
                <w:szCs w:val="17"/>
              </w:rPr>
              <w:t>30 DIAS</w:t>
            </w:r>
            <w:r w:rsidR="000F30AB"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0F30AB">
              <w:rPr>
                <w:rFonts w:ascii="Arial" w:hAnsi="Arial" w:cs="Arial"/>
                <w:color w:val="000000"/>
                <w:sz w:val="17"/>
                <w:szCs w:val="17"/>
              </w:rPr>
              <w:t>BBVA BANCOMER CTA.</w:t>
            </w:r>
            <w:r w:rsidR="00F94861">
              <w:rPr>
                <w:rFonts w:ascii="Arial" w:hAnsi="Arial" w:cs="Arial"/>
                <w:color w:val="000000"/>
                <w:sz w:val="17"/>
                <w:szCs w:val="17"/>
              </w:rPr>
              <w:t xml:space="preserve"> 0106557317 (COLON 3311)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r w:rsidR="000F30AB">
              <w:rPr>
                <w:rFonts w:ascii="Arial" w:hAnsi="Arial" w:cs="Arial"/>
                <w:b/>
                <w:bCs/>
                <w:color w:val="000000"/>
                <w:sz w:val="17"/>
                <w:szCs w:val="17"/>
              </w:rPr>
              <w:t>30 DIAS</w:t>
            </w:r>
            <w:r w:rsidR="000F30AB"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F94861">
            <w:pPr>
              <w:rPr>
                <w:rFonts w:ascii="Arial" w:hAnsi="Arial" w:cs="Arial"/>
                <w:color w:val="000000"/>
                <w:sz w:val="17"/>
                <w:szCs w:val="17"/>
              </w:rPr>
            </w:pPr>
            <w:r w:rsidRPr="002D70DA">
              <w:rPr>
                <w:rFonts w:ascii="Arial" w:hAnsi="Arial" w:cs="Arial"/>
                <w:color w:val="000000"/>
                <w:sz w:val="17"/>
                <w:szCs w:val="17"/>
              </w:rPr>
              <w:t> </w:t>
            </w:r>
            <w:r w:rsidR="00F94861">
              <w:rPr>
                <w:rFonts w:ascii="Arial" w:hAnsi="Arial" w:cs="Arial"/>
                <w:color w:val="000000"/>
                <w:sz w:val="17"/>
                <w:szCs w:val="17"/>
              </w:rPr>
              <w:t>MIFELL</w:t>
            </w:r>
            <w:r w:rsidR="000F30AB">
              <w:rPr>
                <w:rFonts w:ascii="Arial" w:hAnsi="Arial" w:cs="Arial"/>
                <w:color w:val="000000"/>
                <w:sz w:val="17"/>
                <w:szCs w:val="17"/>
              </w:rPr>
              <w:t xml:space="preserve"> CTA.</w:t>
            </w:r>
            <w:r w:rsidR="00F94861">
              <w:rPr>
                <w:rFonts w:ascii="Arial" w:hAnsi="Arial" w:cs="Arial"/>
                <w:color w:val="000000"/>
                <w:sz w:val="17"/>
                <w:szCs w:val="17"/>
              </w:rPr>
              <w:t xml:space="preserve"> 01600261483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F94861">
            <w:pPr>
              <w:jc w:val="right"/>
              <w:rPr>
                <w:rFonts w:ascii="Arial" w:hAnsi="Arial" w:cs="Arial"/>
                <w:b/>
                <w:bCs/>
                <w:color w:val="000000"/>
                <w:sz w:val="17"/>
                <w:szCs w:val="17"/>
              </w:rPr>
            </w:pPr>
            <w:r>
              <w:rPr>
                <w:rFonts w:ascii="Arial" w:hAnsi="Arial" w:cs="Arial"/>
                <w:b/>
                <w:bCs/>
                <w:color w:val="000000"/>
                <w:sz w:val="17"/>
                <w:szCs w:val="17"/>
              </w:rPr>
              <w:t>4,456,665.99</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r w:rsidR="000F30AB">
              <w:rPr>
                <w:rFonts w:ascii="Arial" w:hAnsi="Arial" w:cs="Arial"/>
                <w:b/>
                <w:bCs/>
                <w:color w:val="000000"/>
                <w:sz w:val="17"/>
                <w:szCs w:val="17"/>
              </w:rPr>
              <w:t>30 DIAS</w:t>
            </w:r>
            <w:r w:rsidR="000F30AB" w:rsidRPr="002D70DA">
              <w:rPr>
                <w:rFonts w:ascii="Arial" w:hAnsi="Arial" w:cs="Arial"/>
                <w:b/>
                <w:bCs/>
                <w:color w:val="000000"/>
                <w:sz w:val="17"/>
                <w:szCs w:val="17"/>
              </w:rPr>
              <w:t> </w:t>
            </w: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F94861">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511394" w:rsidRPr="002D70DA" w:rsidRDefault="0051139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394" w:rsidRPr="002D70DA" w:rsidRDefault="00511394">
            <w:pPr>
              <w:jc w:val="center"/>
              <w:rPr>
                <w:rFonts w:ascii="Arial" w:hAnsi="Arial" w:cs="Arial"/>
                <w:b/>
                <w:bCs/>
                <w:color w:val="000000"/>
                <w:sz w:val="17"/>
                <w:szCs w:val="17"/>
              </w:rPr>
            </w:pP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F9486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94861">
              <w:rPr>
                <w:rFonts w:ascii="Arial" w:hAnsi="Arial" w:cs="Arial"/>
                <w:b/>
                <w:bCs/>
                <w:noProof/>
                <w:color w:val="000000"/>
                <w:sz w:val="17"/>
                <w:szCs w:val="17"/>
                <w14:numForm w14:val="lining"/>
              </w:rPr>
              <w:t>9,145,213.32</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4B3341">
            <w:pPr>
              <w:jc w:val="center"/>
              <w:rPr>
                <w:rFonts w:ascii="Arial" w:hAnsi="Arial" w:cs="Arial"/>
                <w:b/>
                <w:bCs/>
                <w:color w:val="000000"/>
                <w:sz w:val="17"/>
                <w:szCs w:val="17"/>
              </w:rPr>
            </w:pPr>
            <w:r>
              <w:rPr>
                <w:rFonts w:ascii="Arial" w:hAnsi="Arial" w:cs="Arial"/>
                <w:b/>
                <w:bCs/>
                <w:color w:val="000000"/>
                <w:sz w:val="17"/>
                <w:szCs w:val="17"/>
              </w:rPr>
              <w:t>“NADA QUE MANIFESTAR”</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4B3341">
            <w:pPr>
              <w:jc w:val="right"/>
              <w:rPr>
                <w:rFonts w:ascii="Arial" w:hAnsi="Arial" w:cs="Arial"/>
                <w:b/>
                <w:bCs/>
                <w:color w:val="000000"/>
                <w:sz w:val="17"/>
                <w:szCs w:val="17"/>
              </w:rPr>
            </w:pPr>
            <w:r>
              <w:rPr>
                <w:rFonts w:ascii="Arial" w:hAnsi="Arial" w:cs="Arial"/>
                <w:b/>
                <w:bCs/>
                <w:color w:val="000000"/>
                <w:sz w:val="17"/>
                <w:szCs w:val="17"/>
              </w:rPr>
              <w:t>1,244,000.00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085743" w:rsidP="00085743">
            <w:pPr>
              <w:jc w:val="right"/>
              <w:rPr>
                <w:rFonts w:ascii="Arial" w:hAnsi="Arial" w:cs="Arial"/>
                <w:b/>
                <w:bCs/>
                <w:color w:val="000000"/>
                <w:sz w:val="17"/>
                <w:szCs w:val="17"/>
              </w:rPr>
            </w:pPr>
            <w:r>
              <w:rPr>
                <w:rFonts w:ascii="Arial" w:hAnsi="Arial" w:cs="Arial"/>
                <w:b/>
                <w:bCs/>
                <w:color w:val="000000"/>
                <w:sz w:val="17"/>
                <w:szCs w:val="17"/>
              </w:rPr>
              <w:t>3</w:t>
            </w:r>
            <w:r w:rsidR="004B3341">
              <w:rPr>
                <w:rFonts w:ascii="Arial" w:hAnsi="Arial" w:cs="Arial"/>
                <w:b/>
                <w:bCs/>
                <w:color w:val="000000"/>
                <w:sz w:val="17"/>
                <w:szCs w:val="17"/>
              </w:rPr>
              <w:t>,</w:t>
            </w:r>
            <w:r>
              <w:rPr>
                <w:rFonts w:ascii="Arial" w:hAnsi="Arial" w:cs="Arial"/>
                <w:b/>
                <w:bCs/>
                <w:color w:val="000000"/>
                <w:sz w:val="17"/>
                <w:szCs w:val="17"/>
              </w:rPr>
              <w:t>838</w:t>
            </w:r>
            <w:r w:rsidR="004B3341">
              <w:rPr>
                <w:rFonts w:ascii="Arial" w:hAnsi="Arial" w:cs="Arial"/>
                <w:b/>
                <w:bCs/>
                <w:color w:val="000000"/>
                <w:sz w:val="17"/>
                <w:szCs w:val="17"/>
              </w:rPr>
              <w:t>,6</w:t>
            </w:r>
            <w:r>
              <w:rPr>
                <w:rFonts w:ascii="Arial" w:hAnsi="Arial" w:cs="Arial"/>
                <w:b/>
                <w:bCs/>
                <w:color w:val="000000"/>
                <w:sz w:val="17"/>
                <w:szCs w:val="17"/>
              </w:rPr>
              <w:t>63</w:t>
            </w:r>
            <w:r w:rsidR="004B3341">
              <w:rPr>
                <w:rFonts w:ascii="Arial" w:hAnsi="Arial" w:cs="Arial"/>
                <w:b/>
                <w:bCs/>
                <w:color w:val="000000"/>
                <w:sz w:val="17"/>
                <w:szCs w:val="17"/>
              </w:rPr>
              <w:t>.</w:t>
            </w:r>
            <w:r>
              <w:rPr>
                <w:rFonts w:ascii="Arial" w:hAnsi="Arial" w:cs="Arial"/>
                <w:b/>
                <w:bCs/>
                <w:color w:val="000000"/>
                <w:sz w:val="17"/>
                <w:szCs w:val="17"/>
              </w:rPr>
              <w:t>84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rsidP="0008574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085743">
              <w:rPr>
                <w:rFonts w:ascii="Arial" w:hAnsi="Arial" w:cs="Arial"/>
                <w:b/>
                <w:bCs/>
                <w:noProof/>
                <w:color w:val="000000"/>
                <w:sz w:val="17"/>
                <w:szCs w:val="17"/>
                <w14:numForm w14:val="lining"/>
              </w:rPr>
              <w:t>5</w:t>
            </w:r>
            <w:r w:rsidR="004B3341">
              <w:rPr>
                <w:rFonts w:ascii="Arial" w:hAnsi="Arial" w:cs="Arial"/>
                <w:b/>
                <w:bCs/>
                <w:noProof/>
                <w:color w:val="000000"/>
                <w:sz w:val="17"/>
                <w:szCs w:val="17"/>
                <w14:numForm w14:val="lining"/>
              </w:rPr>
              <w:t>,</w:t>
            </w:r>
            <w:r w:rsidR="00085743">
              <w:rPr>
                <w:rFonts w:ascii="Arial" w:hAnsi="Arial" w:cs="Arial"/>
                <w:b/>
                <w:bCs/>
                <w:noProof/>
                <w:color w:val="000000"/>
                <w:sz w:val="17"/>
                <w:szCs w:val="17"/>
                <w14:numForm w14:val="lining"/>
              </w:rPr>
              <w:t>082</w:t>
            </w:r>
            <w:r w:rsidR="004B3341">
              <w:rPr>
                <w:rFonts w:ascii="Arial" w:hAnsi="Arial" w:cs="Arial"/>
                <w:b/>
                <w:bCs/>
                <w:noProof/>
                <w:color w:val="000000"/>
                <w:sz w:val="17"/>
                <w:szCs w:val="17"/>
                <w14:numForm w14:val="lining"/>
              </w:rPr>
              <w:t>,6</w:t>
            </w:r>
            <w:r w:rsidR="00085743">
              <w:rPr>
                <w:rFonts w:ascii="Arial" w:hAnsi="Arial" w:cs="Arial"/>
                <w:b/>
                <w:bCs/>
                <w:noProof/>
                <w:color w:val="000000"/>
                <w:sz w:val="17"/>
                <w:szCs w:val="17"/>
                <w14:numForm w14:val="lining"/>
              </w:rPr>
              <w:t>63</w:t>
            </w:r>
            <w:r w:rsidR="004B3341">
              <w:rPr>
                <w:rFonts w:ascii="Arial" w:hAnsi="Arial" w:cs="Arial"/>
                <w:b/>
                <w:bCs/>
                <w:noProof/>
                <w:color w:val="000000"/>
                <w:sz w:val="17"/>
                <w:szCs w:val="17"/>
                <w14:numForm w14:val="lining"/>
              </w:rPr>
              <w:t>.</w:t>
            </w:r>
            <w:r w:rsidR="00085743">
              <w:rPr>
                <w:rFonts w:ascii="Arial" w:hAnsi="Arial" w:cs="Arial"/>
                <w:b/>
                <w:bCs/>
                <w:noProof/>
                <w:color w:val="000000"/>
                <w:sz w:val="17"/>
                <w:szCs w:val="17"/>
                <w14:numForm w14:val="lining"/>
              </w:rPr>
              <w:t>84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4B3341" w:rsidP="004B3341">
            <w:pPr>
              <w:jc w:val="right"/>
              <w:rPr>
                <w:rFonts w:ascii="Arial" w:hAnsi="Arial" w:cs="Arial"/>
                <w:b/>
                <w:bCs/>
                <w:color w:val="000000"/>
                <w:sz w:val="17"/>
                <w:szCs w:val="17"/>
              </w:rPr>
            </w:pPr>
            <w:r>
              <w:rPr>
                <w:rFonts w:ascii="Arial" w:hAnsi="Arial" w:cs="Arial"/>
                <w:b/>
                <w:bCs/>
                <w:color w:val="000000"/>
                <w:sz w:val="17"/>
                <w:szCs w:val="17"/>
              </w:rPr>
              <w:t>2,713,438.01</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085743" w:rsidP="00085743">
            <w:pPr>
              <w:jc w:val="center"/>
              <w:rPr>
                <w:rFonts w:ascii="Arial" w:hAnsi="Arial" w:cs="Arial"/>
                <w:b/>
                <w:bCs/>
                <w:color w:val="000000"/>
                <w:sz w:val="17"/>
                <w:szCs w:val="17"/>
              </w:rPr>
            </w:pPr>
            <w:r>
              <w:rPr>
                <w:rFonts w:ascii="Arial" w:hAnsi="Arial" w:cs="Arial"/>
                <w:b/>
                <w:bCs/>
                <w:color w:val="000000"/>
                <w:sz w:val="17"/>
                <w:szCs w:val="17"/>
              </w:rPr>
              <w:t>Saldo de Estimación de Cuentas Incobrables 2017 por: $2,280,297.81</w:t>
            </w:r>
            <w:r w:rsidRPr="002D70DA">
              <w:rPr>
                <w:rFonts w:ascii="Arial" w:hAnsi="Arial" w:cs="Arial"/>
                <w:b/>
                <w:bCs/>
                <w:color w:val="000000"/>
                <w:sz w:val="17"/>
                <w:szCs w:val="17"/>
              </w:rPr>
              <w:t> </w:t>
            </w:r>
            <w:r w:rsidR="00952BDA"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rsidP="004B334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4B3341">
              <w:rPr>
                <w:rFonts w:ascii="Arial" w:hAnsi="Arial" w:cs="Arial"/>
                <w:b/>
                <w:bCs/>
                <w:noProof/>
                <w:color w:val="000000"/>
                <w:sz w:val="17"/>
                <w:szCs w:val="17"/>
                <w14:numForm w14:val="lining"/>
              </w:rPr>
              <w:t>2,713,438.01</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085743">
            <w:pPr>
              <w:jc w:val="right"/>
              <w:rPr>
                <w:rFonts w:ascii="Arial" w:hAnsi="Arial" w:cs="Arial"/>
                <w:b/>
                <w:bCs/>
                <w:color w:val="000000"/>
                <w:sz w:val="17"/>
                <w:szCs w:val="17"/>
              </w:rPr>
            </w:pPr>
            <w:r>
              <w:rPr>
                <w:rFonts w:ascii="Arial" w:hAnsi="Arial" w:cs="Arial"/>
                <w:b/>
                <w:bCs/>
                <w:color w:val="000000"/>
                <w:sz w:val="17"/>
                <w:szCs w:val="17"/>
              </w:rPr>
              <w:t>32,053,894.31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rsidP="0008574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085743">
              <w:rPr>
                <w:rFonts w:ascii="Arial" w:hAnsi="Arial" w:cs="Arial"/>
                <w:b/>
                <w:bCs/>
                <w:noProof/>
                <w:color w:val="000000"/>
                <w:sz w:val="17"/>
                <w:szCs w:val="17"/>
                <w14:numForm w14:val="lining"/>
              </w:rPr>
              <w:t>32,053,894.31</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085743">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085743">
              <w:rPr>
                <w:rFonts w:ascii="Arial" w:hAnsi="Arial" w:cs="Arial"/>
                <w:b/>
                <w:bCs/>
                <w:noProof/>
                <w:color w:val="000000"/>
                <w:sz w:val="17"/>
                <w:szCs w:val="17"/>
              </w:rPr>
              <w:t>39,849,996</w:t>
            </w:r>
            <w:r w:rsidR="005760D4">
              <w:rPr>
                <w:rFonts w:ascii="Arial" w:hAnsi="Arial" w:cs="Arial"/>
                <w:b/>
                <w:bCs/>
                <w:noProof/>
                <w:color w:val="000000"/>
                <w:sz w:val="17"/>
                <w:szCs w:val="17"/>
              </w:rPr>
              <w:t>.</w:t>
            </w:r>
            <w:r w:rsidR="00085743">
              <w:rPr>
                <w:rFonts w:ascii="Arial" w:hAnsi="Arial" w:cs="Arial"/>
                <w:b/>
                <w:bCs/>
                <w:noProof/>
                <w:color w:val="000000"/>
                <w:sz w:val="17"/>
                <w:szCs w:val="17"/>
              </w:rPr>
              <w:t>16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BA0780">
            <w:pPr>
              <w:jc w:val="right"/>
              <w:rPr>
                <w:rFonts w:ascii="Arial" w:hAnsi="Arial" w:cs="Arial"/>
                <w:b/>
                <w:bCs/>
                <w:color w:val="000000"/>
                <w:sz w:val="17"/>
                <w:szCs w:val="17"/>
              </w:rPr>
            </w:pPr>
            <w:r>
              <w:rPr>
                <w:rFonts w:ascii="Arial" w:hAnsi="Arial" w:cs="Arial"/>
                <w:b/>
                <w:bCs/>
                <w:color w:val="000000"/>
                <w:sz w:val="17"/>
                <w:szCs w:val="17"/>
              </w:rPr>
              <w:t>102,003.29</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BA078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BA0780">
              <w:rPr>
                <w:rFonts w:ascii="Arial" w:hAnsi="Arial" w:cs="Arial"/>
                <w:b/>
                <w:bCs/>
                <w:noProof/>
                <w:color w:val="000000"/>
                <w:sz w:val="17"/>
                <w:szCs w:val="17"/>
                <w14:numForm w14:val="lining"/>
              </w:rPr>
              <w:t>102,003.29</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BA0780">
            <w:pPr>
              <w:jc w:val="right"/>
              <w:rPr>
                <w:rFonts w:ascii="Arial" w:hAnsi="Arial" w:cs="Arial"/>
                <w:b/>
                <w:bCs/>
                <w:color w:val="000000"/>
                <w:sz w:val="17"/>
                <w:szCs w:val="17"/>
              </w:rPr>
            </w:pPr>
            <w:r>
              <w:rPr>
                <w:rFonts w:ascii="Arial" w:hAnsi="Arial" w:cs="Arial"/>
                <w:b/>
                <w:bCs/>
                <w:color w:val="000000"/>
                <w:sz w:val="17"/>
                <w:szCs w:val="17"/>
              </w:rPr>
              <w:t>7,900,450.39</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BA078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BA0780">
              <w:rPr>
                <w:rFonts w:ascii="Arial" w:hAnsi="Arial" w:cs="Arial"/>
                <w:b/>
                <w:bCs/>
                <w:noProof/>
                <w:color w:val="000000"/>
                <w:sz w:val="17"/>
                <w:szCs w:val="17"/>
                <w14:numForm w14:val="lining"/>
              </w:rPr>
              <w:t>7,900,450.39</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BA0780">
            <w:pPr>
              <w:jc w:val="right"/>
              <w:rPr>
                <w:rFonts w:ascii="Arial" w:hAnsi="Arial" w:cs="Arial"/>
                <w:b/>
                <w:bCs/>
                <w:color w:val="000000"/>
                <w:sz w:val="17"/>
                <w:szCs w:val="17"/>
              </w:rPr>
            </w:pPr>
            <w:r>
              <w:rPr>
                <w:rFonts w:ascii="Arial" w:hAnsi="Arial" w:cs="Arial"/>
                <w:b/>
                <w:bCs/>
                <w:color w:val="000000"/>
                <w:sz w:val="17"/>
                <w:szCs w:val="17"/>
              </w:rPr>
              <w:t>$   8,002,453.39</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BA0780">
              <w:rPr>
                <w:rFonts w:ascii="Arial" w:hAnsi="Arial" w:cs="Arial"/>
                <w:color w:val="000000"/>
                <w:sz w:val="17"/>
                <w:szCs w:val="17"/>
              </w:rPr>
              <w:t>Absorbente o Histórico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BA0780">
              <w:rPr>
                <w:rFonts w:ascii="Arial" w:hAnsi="Arial" w:cs="Arial"/>
                <w:color w:val="000000"/>
                <w:sz w:val="17"/>
                <w:szCs w:val="17"/>
              </w:rPr>
              <w:t>Costo Identificado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BA0780">
              <w:rPr>
                <w:rFonts w:ascii="Arial" w:hAnsi="Arial" w:cs="Arial"/>
                <w:color w:val="000000"/>
                <w:sz w:val="17"/>
                <w:szCs w:val="17"/>
              </w:rPr>
              <w:t>Los Inventarios se refieren a reserva territorial, el método es el adecuado para su valuación.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rsidP="00BA0780">
            <w:pPr>
              <w:rPr>
                <w:rFonts w:ascii="Arial" w:hAnsi="Arial" w:cs="Arial"/>
                <w:color w:val="000000"/>
                <w:sz w:val="17"/>
                <w:szCs w:val="17"/>
              </w:rPr>
            </w:pPr>
            <w:r w:rsidRPr="002D70DA">
              <w:rPr>
                <w:rFonts w:ascii="Arial" w:hAnsi="Arial" w:cs="Arial"/>
                <w:color w:val="000000"/>
                <w:sz w:val="17"/>
                <w:szCs w:val="17"/>
              </w:rPr>
              <w:t> </w:t>
            </w:r>
            <w:r w:rsidR="00BA0780">
              <w:rPr>
                <w:rFonts w:ascii="Arial" w:hAnsi="Arial" w:cs="Arial"/>
                <w:color w:val="000000"/>
                <w:sz w:val="17"/>
                <w:szCs w:val="17"/>
              </w:rPr>
              <w:t>Sería poco real su valor</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BA078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lastRenderedPageBreak/>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r w:rsidR="00BA078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BA0780">
            <w:pPr>
              <w:jc w:val="right"/>
              <w:rPr>
                <w:rFonts w:ascii="Arial" w:hAnsi="Arial" w:cs="Arial"/>
                <w:b/>
                <w:bCs/>
                <w:color w:val="000000"/>
                <w:sz w:val="17"/>
                <w:szCs w:val="17"/>
              </w:rPr>
            </w:pPr>
            <w:r>
              <w:rPr>
                <w:rFonts w:ascii="Arial" w:hAnsi="Arial" w:cs="Arial"/>
                <w:b/>
                <w:bCs/>
                <w:color w:val="000000"/>
                <w:sz w:val="17"/>
                <w:szCs w:val="17"/>
              </w:rPr>
              <w:t>“NO APLICA”</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104,739.69</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225,367.30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F10E5B">
            <w:pPr>
              <w:rPr>
                <w:rFonts w:ascii="Arial" w:hAnsi="Arial" w:cs="Arial"/>
                <w:color w:val="000000"/>
                <w:sz w:val="17"/>
                <w:szCs w:val="17"/>
              </w:rPr>
            </w:pPr>
            <w:r w:rsidRPr="002D70DA">
              <w:rPr>
                <w:rFonts w:ascii="Arial" w:hAnsi="Arial" w:cs="Arial"/>
                <w:color w:val="000000"/>
                <w:sz w:val="17"/>
                <w:szCs w:val="17"/>
              </w:rPr>
              <w:t> </w:t>
            </w:r>
            <w:r w:rsidR="00F10E5B">
              <w:rPr>
                <w:rFonts w:ascii="Arial" w:hAnsi="Arial" w:cs="Arial"/>
                <w:color w:val="000000"/>
                <w:sz w:val="17"/>
                <w:szCs w:val="17"/>
              </w:rPr>
              <w:t>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32450" w:rsidP="00F10E5B">
            <w:pPr>
              <w:rPr>
                <w:rFonts w:ascii="Arial" w:hAnsi="Arial" w:cs="Arial"/>
                <w:color w:val="000000"/>
                <w:sz w:val="17"/>
                <w:szCs w:val="17"/>
              </w:rPr>
            </w:pPr>
            <w:r>
              <w:rPr>
                <w:rFonts w:ascii="Arial" w:hAnsi="Arial" w:cs="Arial"/>
                <w:color w:val="000000"/>
                <w:sz w:val="17"/>
                <w:szCs w:val="17"/>
              </w:rPr>
              <w:t>10% M</w:t>
            </w:r>
            <w:r w:rsidR="00F10E5B">
              <w:rPr>
                <w:rFonts w:ascii="Arial" w:hAnsi="Arial" w:cs="Arial"/>
                <w:color w:val="000000"/>
                <w:sz w:val="17"/>
                <w:szCs w:val="17"/>
              </w:rPr>
              <w:t>obiliario</w:t>
            </w:r>
            <w:r>
              <w:rPr>
                <w:rFonts w:ascii="Arial" w:hAnsi="Arial" w:cs="Arial"/>
                <w:color w:val="000000"/>
                <w:sz w:val="17"/>
                <w:szCs w:val="17"/>
              </w:rPr>
              <w:t xml:space="preserve"> </w:t>
            </w:r>
            <w:r w:rsidR="00F10E5B">
              <w:rPr>
                <w:rFonts w:ascii="Arial" w:hAnsi="Arial" w:cs="Arial"/>
                <w:color w:val="000000"/>
                <w:sz w:val="17"/>
                <w:szCs w:val="17"/>
              </w:rPr>
              <w:t>y</w:t>
            </w:r>
            <w:r>
              <w:rPr>
                <w:rFonts w:ascii="Arial" w:hAnsi="Arial" w:cs="Arial"/>
                <w:color w:val="000000"/>
                <w:sz w:val="17"/>
                <w:szCs w:val="17"/>
              </w:rPr>
              <w:t xml:space="preserve"> 33% E</w:t>
            </w:r>
            <w:r w:rsidR="00F10E5B">
              <w:rPr>
                <w:rFonts w:ascii="Arial" w:hAnsi="Arial" w:cs="Arial"/>
                <w:color w:val="000000"/>
                <w:sz w:val="17"/>
                <w:szCs w:val="17"/>
              </w:rPr>
              <w:t>q</w:t>
            </w:r>
            <w:r w:rsidR="00002F3F">
              <w:rPr>
                <w:rFonts w:ascii="Arial" w:hAnsi="Arial" w:cs="Arial"/>
                <w:color w:val="000000"/>
                <w:sz w:val="17"/>
                <w:szCs w:val="17"/>
              </w:rPr>
              <w:t>ui</w:t>
            </w:r>
            <w:r w:rsidR="00F10E5B">
              <w:rPr>
                <w:rFonts w:ascii="Arial" w:hAnsi="Arial" w:cs="Arial"/>
                <w:color w:val="000000"/>
                <w:sz w:val="17"/>
                <w:szCs w:val="17"/>
              </w:rPr>
              <w:t>po</w:t>
            </w:r>
            <w:r>
              <w:rPr>
                <w:rFonts w:ascii="Arial" w:hAnsi="Arial" w:cs="Arial"/>
                <w:color w:val="000000"/>
                <w:sz w:val="17"/>
                <w:szCs w:val="17"/>
              </w:rPr>
              <w:t xml:space="preserve"> </w:t>
            </w:r>
            <w:r w:rsidR="00F10E5B">
              <w:rPr>
                <w:rFonts w:ascii="Arial" w:hAnsi="Arial" w:cs="Arial"/>
                <w:color w:val="000000"/>
                <w:sz w:val="17"/>
                <w:szCs w:val="17"/>
              </w:rPr>
              <w:t>de</w:t>
            </w:r>
            <w:r>
              <w:rPr>
                <w:rFonts w:ascii="Arial" w:hAnsi="Arial" w:cs="Arial"/>
                <w:color w:val="000000"/>
                <w:sz w:val="17"/>
                <w:szCs w:val="17"/>
              </w:rPr>
              <w:t xml:space="preserve"> </w:t>
            </w:r>
            <w:r w:rsidR="00F10E5B">
              <w:rPr>
                <w:rFonts w:ascii="Arial" w:hAnsi="Arial" w:cs="Arial"/>
                <w:color w:val="000000"/>
                <w:sz w:val="17"/>
                <w:szCs w:val="17"/>
              </w:rPr>
              <w:t xml:space="preserve">Cómputo </w:t>
            </w:r>
            <w:r>
              <w:rPr>
                <w:rFonts w:ascii="Arial" w:hAnsi="Arial" w:cs="Arial"/>
                <w:color w:val="000000"/>
                <w:sz w:val="17"/>
                <w:szCs w:val="17"/>
              </w:rPr>
              <w:t xml:space="preserve"> A</w:t>
            </w:r>
            <w:r w:rsidR="00F10E5B">
              <w:rPr>
                <w:rFonts w:ascii="Arial" w:hAnsi="Arial" w:cs="Arial"/>
                <w:color w:val="000000"/>
                <w:sz w:val="17"/>
                <w:szCs w:val="17"/>
              </w:rPr>
              <w:t>nual</w:t>
            </w:r>
            <w:r w:rsidR="00E771F3"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F32450" w:rsidRDefault="00914310">
            <w:pPr>
              <w:rPr>
                <w:rFonts w:ascii="Arial" w:hAnsi="Arial" w:cs="Arial"/>
                <w:color w:val="000000"/>
                <w:sz w:val="16"/>
                <w:szCs w:val="16"/>
              </w:rPr>
            </w:pPr>
            <w:r w:rsidRPr="00914310">
              <w:rPr>
                <w:rFonts w:ascii="Arial" w:hAnsi="Arial" w:cs="Arial"/>
                <w:color w:val="000000"/>
                <w:sz w:val="16"/>
                <w:szCs w:val="16"/>
              </w:rPr>
              <w:t>D</w:t>
            </w:r>
            <w:r>
              <w:rPr>
                <w:rFonts w:ascii="Arial" w:hAnsi="Arial" w:cs="Arial"/>
                <w:color w:val="000000"/>
                <w:sz w:val="16"/>
                <w:szCs w:val="16"/>
              </w:rPr>
              <w:t xml:space="preserve">e acuerdo a la </w:t>
            </w:r>
            <w:r w:rsidRPr="00914310">
              <w:rPr>
                <w:rFonts w:ascii="Arial" w:hAnsi="Arial" w:cs="Arial"/>
                <w:color w:val="000000"/>
                <w:sz w:val="16"/>
                <w:szCs w:val="16"/>
              </w:rPr>
              <w:t xml:space="preserve"> “G</w:t>
            </w:r>
            <w:r>
              <w:rPr>
                <w:rFonts w:ascii="Arial" w:hAnsi="Arial" w:cs="Arial"/>
                <w:color w:val="000000"/>
                <w:sz w:val="16"/>
                <w:szCs w:val="16"/>
              </w:rPr>
              <w:t>uía</w:t>
            </w:r>
            <w:r w:rsidRPr="00914310">
              <w:rPr>
                <w:rFonts w:ascii="Arial" w:hAnsi="Arial" w:cs="Arial"/>
                <w:color w:val="000000"/>
                <w:sz w:val="16"/>
                <w:szCs w:val="16"/>
              </w:rPr>
              <w:t xml:space="preserve"> </w:t>
            </w:r>
            <w:r>
              <w:rPr>
                <w:rFonts w:ascii="Arial" w:hAnsi="Arial" w:cs="Arial"/>
                <w:color w:val="000000"/>
                <w:sz w:val="16"/>
                <w:szCs w:val="16"/>
              </w:rPr>
              <w:t>de</w:t>
            </w:r>
            <w:r w:rsidRPr="00914310">
              <w:rPr>
                <w:rFonts w:ascii="Arial" w:hAnsi="Arial" w:cs="Arial"/>
                <w:color w:val="000000"/>
                <w:sz w:val="16"/>
                <w:szCs w:val="16"/>
              </w:rPr>
              <w:t xml:space="preserve"> V</w:t>
            </w:r>
            <w:r>
              <w:rPr>
                <w:rFonts w:ascii="Arial" w:hAnsi="Arial" w:cs="Arial"/>
                <w:color w:val="000000"/>
                <w:sz w:val="16"/>
                <w:szCs w:val="16"/>
              </w:rPr>
              <w:t>ida</w:t>
            </w:r>
            <w:r w:rsidRPr="00914310">
              <w:rPr>
                <w:rFonts w:ascii="Arial" w:hAnsi="Arial" w:cs="Arial"/>
                <w:color w:val="000000"/>
                <w:sz w:val="16"/>
                <w:szCs w:val="16"/>
              </w:rPr>
              <w:t xml:space="preserve"> Ú</w:t>
            </w:r>
            <w:r>
              <w:rPr>
                <w:rFonts w:ascii="Arial" w:hAnsi="Arial" w:cs="Arial"/>
                <w:color w:val="000000"/>
                <w:sz w:val="16"/>
                <w:szCs w:val="16"/>
              </w:rPr>
              <w:t>til</w:t>
            </w:r>
            <w:r w:rsidRPr="00914310">
              <w:rPr>
                <w:rFonts w:ascii="Arial" w:hAnsi="Arial" w:cs="Arial"/>
                <w:color w:val="000000"/>
                <w:sz w:val="16"/>
                <w:szCs w:val="16"/>
              </w:rPr>
              <w:t xml:space="preserve"> E</w:t>
            </w:r>
            <w:r>
              <w:rPr>
                <w:rFonts w:ascii="Arial" w:hAnsi="Arial" w:cs="Arial"/>
                <w:color w:val="000000"/>
                <w:sz w:val="16"/>
                <w:szCs w:val="16"/>
              </w:rPr>
              <w:t>stimada</w:t>
            </w:r>
            <w:r w:rsidRPr="00914310">
              <w:rPr>
                <w:rFonts w:ascii="Arial" w:hAnsi="Arial" w:cs="Arial"/>
                <w:color w:val="000000"/>
                <w:sz w:val="16"/>
                <w:szCs w:val="16"/>
              </w:rPr>
              <w:t xml:space="preserve"> </w:t>
            </w:r>
            <w:r>
              <w:rPr>
                <w:rFonts w:ascii="Arial" w:hAnsi="Arial" w:cs="Arial"/>
                <w:color w:val="000000"/>
                <w:sz w:val="16"/>
                <w:szCs w:val="16"/>
              </w:rPr>
              <w:t>y</w:t>
            </w:r>
            <w:r w:rsidRPr="00914310">
              <w:rPr>
                <w:rFonts w:ascii="Arial" w:hAnsi="Arial" w:cs="Arial"/>
                <w:color w:val="000000"/>
                <w:sz w:val="16"/>
                <w:szCs w:val="16"/>
              </w:rPr>
              <w:t xml:space="preserve"> P</w:t>
            </w:r>
            <w:r>
              <w:rPr>
                <w:rFonts w:ascii="Arial" w:hAnsi="Arial" w:cs="Arial"/>
                <w:color w:val="000000"/>
                <w:sz w:val="16"/>
                <w:szCs w:val="16"/>
              </w:rPr>
              <w:t>orcentajes</w:t>
            </w:r>
            <w:r w:rsidRPr="00914310">
              <w:rPr>
                <w:rFonts w:ascii="Arial" w:hAnsi="Arial" w:cs="Arial"/>
                <w:color w:val="000000"/>
                <w:sz w:val="16"/>
                <w:szCs w:val="16"/>
              </w:rPr>
              <w:t xml:space="preserve"> </w:t>
            </w:r>
            <w:r>
              <w:rPr>
                <w:rFonts w:ascii="Arial" w:hAnsi="Arial" w:cs="Arial"/>
                <w:color w:val="000000"/>
                <w:sz w:val="16"/>
                <w:szCs w:val="16"/>
              </w:rPr>
              <w:t>de</w:t>
            </w:r>
            <w:r w:rsidRPr="00914310">
              <w:rPr>
                <w:rFonts w:ascii="Arial" w:hAnsi="Arial" w:cs="Arial"/>
                <w:color w:val="000000"/>
                <w:sz w:val="16"/>
                <w:szCs w:val="16"/>
              </w:rPr>
              <w:t xml:space="preserve"> D</w:t>
            </w:r>
            <w:r>
              <w:rPr>
                <w:rFonts w:ascii="Arial" w:hAnsi="Arial" w:cs="Arial"/>
                <w:color w:val="000000"/>
                <w:sz w:val="16"/>
                <w:szCs w:val="16"/>
              </w:rPr>
              <w:t>epreciación</w:t>
            </w:r>
            <w:r w:rsidRPr="00914310">
              <w:rPr>
                <w:rFonts w:ascii="Arial" w:hAnsi="Arial" w:cs="Arial"/>
                <w:color w:val="000000"/>
                <w:sz w:val="16"/>
                <w:szCs w:val="16"/>
              </w:rPr>
              <w:t>” E</w:t>
            </w:r>
            <w:r>
              <w:rPr>
                <w:rFonts w:ascii="Arial" w:hAnsi="Arial" w:cs="Arial"/>
                <w:color w:val="000000"/>
                <w:sz w:val="16"/>
                <w:szCs w:val="16"/>
              </w:rPr>
              <w:t>mitida por la</w:t>
            </w:r>
            <w:r w:rsidRPr="00914310">
              <w:rPr>
                <w:rFonts w:ascii="Arial" w:hAnsi="Arial" w:cs="Arial"/>
                <w:color w:val="000000"/>
                <w:sz w:val="16"/>
                <w:szCs w:val="16"/>
              </w:rPr>
              <w:t xml:space="preserve"> CONAC (DOF 15-08-2012)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32450">
            <w:pPr>
              <w:rPr>
                <w:rFonts w:ascii="Arial" w:hAnsi="Arial" w:cs="Arial"/>
                <w:color w:val="000000"/>
                <w:sz w:val="17"/>
                <w:szCs w:val="17"/>
              </w:rPr>
            </w:pPr>
            <w:r>
              <w:rPr>
                <w:rFonts w:ascii="Arial" w:hAnsi="Arial" w:cs="Arial"/>
                <w:color w:val="000000"/>
                <w:sz w:val="17"/>
                <w:szCs w:val="17"/>
              </w:rPr>
              <w:t>DETERIORADO EN UN 90%</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4,358.88</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6,840.60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10E5B">
            <w:pPr>
              <w:rPr>
                <w:rFonts w:ascii="Arial" w:hAnsi="Arial" w:cs="Arial"/>
                <w:color w:val="000000"/>
                <w:sz w:val="17"/>
                <w:szCs w:val="17"/>
              </w:rPr>
            </w:pPr>
            <w:r>
              <w:rPr>
                <w:rFonts w:ascii="Arial" w:hAnsi="Arial" w:cs="Arial"/>
                <w:color w:val="000000"/>
                <w:sz w:val="17"/>
                <w:szCs w:val="17"/>
              </w:rPr>
              <w:t>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F32450">
              <w:rPr>
                <w:rFonts w:ascii="Arial" w:hAnsi="Arial" w:cs="Arial"/>
                <w:color w:val="000000"/>
                <w:sz w:val="17"/>
                <w:szCs w:val="17"/>
              </w:rPr>
              <w:t>33% 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F32450" w:rsidRDefault="00914310">
            <w:pPr>
              <w:rPr>
                <w:rFonts w:ascii="Arial" w:hAnsi="Arial" w:cs="Arial"/>
                <w:color w:val="000000"/>
                <w:sz w:val="16"/>
                <w:szCs w:val="16"/>
              </w:rPr>
            </w:pPr>
            <w:r w:rsidRPr="00914310">
              <w:rPr>
                <w:rFonts w:ascii="Arial" w:hAnsi="Arial" w:cs="Arial"/>
                <w:color w:val="000000"/>
                <w:sz w:val="16"/>
                <w:szCs w:val="16"/>
              </w:rPr>
              <w:t>D</w:t>
            </w:r>
            <w:r>
              <w:rPr>
                <w:rFonts w:ascii="Arial" w:hAnsi="Arial" w:cs="Arial"/>
                <w:color w:val="000000"/>
                <w:sz w:val="16"/>
                <w:szCs w:val="16"/>
              </w:rPr>
              <w:t xml:space="preserve">e acuerdo a la </w:t>
            </w:r>
            <w:r w:rsidRPr="00914310">
              <w:rPr>
                <w:rFonts w:ascii="Arial" w:hAnsi="Arial" w:cs="Arial"/>
                <w:color w:val="000000"/>
                <w:sz w:val="16"/>
                <w:szCs w:val="16"/>
              </w:rPr>
              <w:t xml:space="preserve"> “G</w:t>
            </w:r>
            <w:r>
              <w:rPr>
                <w:rFonts w:ascii="Arial" w:hAnsi="Arial" w:cs="Arial"/>
                <w:color w:val="000000"/>
                <w:sz w:val="16"/>
                <w:szCs w:val="16"/>
              </w:rPr>
              <w:t>uía</w:t>
            </w:r>
            <w:r w:rsidRPr="00914310">
              <w:rPr>
                <w:rFonts w:ascii="Arial" w:hAnsi="Arial" w:cs="Arial"/>
                <w:color w:val="000000"/>
                <w:sz w:val="16"/>
                <w:szCs w:val="16"/>
              </w:rPr>
              <w:t xml:space="preserve"> </w:t>
            </w:r>
            <w:r>
              <w:rPr>
                <w:rFonts w:ascii="Arial" w:hAnsi="Arial" w:cs="Arial"/>
                <w:color w:val="000000"/>
                <w:sz w:val="16"/>
                <w:szCs w:val="16"/>
              </w:rPr>
              <w:t>de</w:t>
            </w:r>
            <w:r w:rsidRPr="00914310">
              <w:rPr>
                <w:rFonts w:ascii="Arial" w:hAnsi="Arial" w:cs="Arial"/>
                <w:color w:val="000000"/>
                <w:sz w:val="16"/>
                <w:szCs w:val="16"/>
              </w:rPr>
              <w:t xml:space="preserve"> V</w:t>
            </w:r>
            <w:r>
              <w:rPr>
                <w:rFonts w:ascii="Arial" w:hAnsi="Arial" w:cs="Arial"/>
                <w:color w:val="000000"/>
                <w:sz w:val="16"/>
                <w:szCs w:val="16"/>
              </w:rPr>
              <w:t>ida</w:t>
            </w:r>
            <w:r w:rsidRPr="00914310">
              <w:rPr>
                <w:rFonts w:ascii="Arial" w:hAnsi="Arial" w:cs="Arial"/>
                <w:color w:val="000000"/>
                <w:sz w:val="16"/>
                <w:szCs w:val="16"/>
              </w:rPr>
              <w:t xml:space="preserve"> Ú</w:t>
            </w:r>
            <w:r>
              <w:rPr>
                <w:rFonts w:ascii="Arial" w:hAnsi="Arial" w:cs="Arial"/>
                <w:color w:val="000000"/>
                <w:sz w:val="16"/>
                <w:szCs w:val="16"/>
              </w:rPr>
              <w:t>til</w:t>
            </w:r>
            <w:r w:rsidRPr="00914310">
              <w:rPr>
                <w:rFonts w:ascii="Arial" w:hAnsi="Arial" w:cs="Arial"/>
                <w:color w:val="000000"/>
                <w:sz w:val="16"/>
                <w:szCs w:val="16"/>
              </w:rPr>
              <w:t xml:space="preserve"> E</w:t>
            </w:r>
            <w:r>
              <w:rPr>
                <w:rFonts w:ascii="Arial" w:hAnsi="Arial" w:cs="Arial"/>
                <w:color w:val="000000"/>
                <w:sz w:val="16"/>
                <w:szCs w:val="16"/>
              </w:rPr>
              <w:t>stimada</w:t>
            </w:r>
            <w:r w:rsidRPr="00914310">
              <w:rPr>
                <w:rFonts w:ascii="Arial" w:hAnsi="Arial" w:cs="Arial"/>
                <w:color w:val="000000"/>
                <w:sz w:val="16"/>
                <w:szCs w:val="16"/>
              </w:rPr>
              <w:t xml:space="preserve"> </w:t>
            </w:r>
            <w:r>
              <w:rPr>
                <w:rFonts w:ascii="Arial" w:hAnsi="Arial" w:cs="Arial"/>
                <w:color w:val="000000"/>
                <w:sz w:val="16"/>
                <w:szCs w:val="16"/>
              </w:rPr>
              <w:t>y</w:t>
            </w:r>
            <w:r w:rsidRPr="00914310">
              <w:rPr>
                <w:rFonts w:ascii="Arial" w:hAnsi="Arial" w:cs="Arial"/>
                <w:color w:val="000000"/>
                <w:sz w:val="16"/>
                <w:szCs w:val="16"/>
              </w:rPr>
              <w:t xml:space="preserve"> P</w:t>
            </w:r>
            <w:r>
              <w:rPr>
                <w:rFonts w:ascii="Arial" w:hAnsi="Arial" w:cs="Arial"/>
                <w:color w:val="000000"/>
                <w:sz w:val="16"/>
                <w:szCs w:val="16"/>
              </w:rPr>
              <w:t>orcentajes</w:t>
            </w:r>
            <w:r w:rsidRPr="00914310">
              <w:rPr>
                <w:rFonts w:ascii="Arial" w:hAnsi="Arial" w:cs="Arial"/>
                <w:color w:val="000000"/>
                <w:sz w:val="16"/>
                <w:szCs w:val="16"/>
              </w:rPr>
              <w:t xml:space="preserve"> </w:t>
            </w:r>
            <w:r>
              <w:rPr>
                <w:rFonts w:ascii="Arial" w:hAnsi="Arial" w:cs="Arial"/>
                <w:color w:val="000000"/>
                <w:sz w:val="16"/>
                <w:szCs w:val="16"/>
              </w:rPr>
              <w:t>de</w:t>
            </w:r>
            <w:r w:rsidRPr="00914310">
              <w:rPr>
                <w:rFonts w:ascii="Arial" w:hAnsi="Arial" w:cs="Arial"/>
                <w:color w:val="000000"/>
                <w:sz w:val="16"/>
                <w:szCs w:val="16"/>
              </w:rPr>
              <w:t xml:space="preserve"> D</w:t>
            </w:r>
            <w:r>
              <w:rPr>
                <w:rFonts w:ascii="Arial" w:hAnsi="Arial" w:cs="Arial"/>
                <w:color w:val="000000"/>
                <w:sz w:val="16"/>
                <w:szCs w:val="16"/>
              </w:rPr>
              <w:t>epreciación</w:t>
            </w:r>
            <w:r w:rsidRPr="00914310">
              <w:rPr>
                <w:rFonts w:ascii="Arial" w:hAnsi="Arial" w:cs="Arial"/>
                <w:color w:val="000000"/>
                <w:sz w:val="16"/>
                <w:szCs w:val="16"/>
              </w:rPr>
              <w:t>” E</w:t>
            </w:r>
            <w:r>
              <w:rPr>
                <w:rFonts w:ascii="Arial" w:hAnsi="Arial" w:cs="Arial"/>
                <w:color w:val="000000"/>
                <w:sz w:val="16"/>
                <w:szCs w:val="16"/>
              </w:rPr>
              <w:t>mitida por la</w:t>
            </w:r>
            <w:r w:rsidRPr="00914310">
              <w:rPr>
                <w:rFonts w:ascii="Arial" w:hAnsi="Arial" w:cs="Arial"/>
                <w:color w:val="000000"/>
                <w:sz w:val="16"/>
                <w:szCs w:val="16"/>
              </w:rPr>
              <w:t xml:space="preserve"> CONAC (DOF 15-08-2012)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14310">
              <w:rPr>
                <w:rFonts w:ascii="Arial" w:hAnsi="Arial" w:cs="Arial"/>
                <w:color w:val="000000"/>
                <w:sz w:val="17"/>
                <w:szCs w:val="17"/>
              </w:rPr>
              <w:t>DETERIORADO EN UN 90%</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168,919.92</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318,529.90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10E5B">
            <w:pPr>
              <w:rPr>
                <w:rFonts w:ascii="Arial" w:hAnsi="Arial" w:cs="Arial"/>
                <w:color w:val="000000"/>
                <w:sz w:val="17"/>
                <w:szCs w:val="17"/>
              </w:rPr>
            </w:pPr>
            <w:r>
              <w:rPr>
                <w:rFonts w:ascii="Arial" w:hAnsi="Arial" w:cs="Arial"/>
                <w:color w:val="000000"/>
                <w:sz w:val="17"/>
                <w:szCs w:val="17"/>
              </w:rPr>
              <w:t>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F32450">
            <w:pPr>
              <w:rPr>
                <w:rFonts w:ascii="Arial" w:hAnsi="Arial" w:cs="Arial"/>
                <w:color w:val="000000"/>
                <w:sz w:val="17"/>
                <w:szCs w:val="17"/>
              </w:rPr>
            </w:pPr>
            <w:r w:rsidRPr="002D70DA">
              <w:rPr>
                <w:rFonts w:ascii="Arial" w:hAnsi="Arial" w:cs="Arial"/>
                <w:color w:val="000000"/>
                <w:sz w:val="17"/>
                <w:szCs w:val="17"/>
              </w:rPr>
              <w:t> </w:t>
            </w:r>
            <w:r w:rsidR="00F32450">
              <w:rPr>
                <w:rFonts w:ascii="Arial" w:hAnsi="Arial" w:cs="Arial"/>
                <w:color w:val="000000"/>
                <w:sz w:val="17"/>
                <w:szCs w:val="17"/>
              </w:rPr>
              <w:t>20% 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914310" w:rsidRDefault="00F32450" w:rsidP="00914310">
            <w:pPr>
              <w:rPr>
                <w:rFonts w:ascii="Arial" w:hAnsi="Arial" w:cs="Arial"/>
                <w:color w:val="000000"/>
                <w:sz w:val="16"/>
                <w:szCs w:val="16"/>
              </w:rPr>
            </w:pPr>
            <w:r w:rsidRPr="00914310">
              <w:rPr>
                <w:rFonts w:ascii="Arial" w:hAnsi="Arial" w:cs="Arial"/>
                <w:color w:val="000000"/>
                <w:sz w:val="16"/>
                <w:szCs w:val="16"/>
              </w:rPr>
              <w:t>D</w:t>
            </w:r>
            <w:r w:rsidR="00914310">
              <w:rPr>
                <w:rFonts w:ascii="Arial" w:hAnsi="Arial" w:cs="Arial"/>
                <w:color w:val="000000"/>
                <w:sz w:val="16"/>
                <w:szCs w:val="16"/>
              </w:rPr>
              <w:t xml:space="preserve">e acuerdo a la </w:t>
            </w:r>
            <w:r w:rsidRPr="00914310">
              <w:rPr>
                <w:rFonts w:ascii="Arial" w:hAnsi="Arial" w:cs="Arial"/>
                <w:color w:val="000000"/>
                <w:sz w:val="16"/>
                <w:szCs w:val="16"/>
              </w:rPr>
              <w:t xml:space="preserve"> “G</w:t>
            </w:r>
            <w:r w:rsidR="00914310">
              <w:rPr>
                <w:rFonts w:ascii="Arial" w:hAnsi="Arial" w:cs="Arial"/>
                <w:color w:val="000000"/>
                <w:sz w:val="16"/>
                <w:szCs w:val="16"/>
              </w:rPr>
              <w:t>uía</w:t>
            </w:r>
            <w:r w:rsidRPr="00914310">
              <w:rPr>
                <w:rFonts w:ascii="Arial" w:hAnsi="Arial" w:cs="Arial"/>
                <w:color w:val="000000"/>
                <w:sz w:val="16"/>
                <w:szCs w:val="16"/>
              </w:rPr>
              <w:t xml:space="preserve"> </w:t>
            </w:r>
            <w:r w:rsidR="00914310">
              <w:rPr>
                <w:rFonts w:ascii="Arial" w:hAnsi="Arial" w:cs="Arial"/>
                <w:color w:val="000000"/>
                <w:sz w:val="16"/>
                <w:szCs w:val="16"/>
              </w:rPr>
              <w:t>de</w:t>
            </w:r>
            <w:r w:rsidRPr="00914310">
              <w:rPr>
                <w:rFonts w:ascii="Arial" w:hAnsi="Arial" w:cs="Arial"/>
                <w:color w:val="000000"/>
                <w:sz w:val="16"/>
                <w:szCs w:val="16"/>
              </w:rPr>
              <w:t xml:space="preserve"> V</w:t>
            </w:r>
            <w:r w:rsidR="00914310">
              <w:rPr>
                <w:rFonts w:ascii="Arial" w:hAnsi="Arial" w:cs="Arial"/>
                <w:color w:val="000000"/>
                <w:sz w:val="16"/>
                <w:szCs w:val="16"/>
              </w:rPr>
              <w:t>ida</w:t>
            </w:r>
            <w:r w:rsidRPr="00914310">
              <w:rPr>
                <w:rFonts w:ascii="Arial" w:hAnsi="Arial" w:cs="Arial"/>
                <w:color w:val="000000"/>
                <w:sz w:val="16"/>
                <w:szCs w:val="16"/>
              </w:rPr>
              <w:t xml:space="preserve"> Ú</w:t>
            </w:r>
            <w:r w:rsidR="00914310">
              <w:rPr>
                <w:rFonts w:ascii="Arial" w:hAnsi="Arial" w:cs="Arial"/>
                <w:color w:val="000000"/>
                <w:sz w:val="16"/>
                <w:szCs w:val="16"/>
              </w:rPr>
              <w:t>til</w:t>
            </w:r>
            <w:r w:rsidRPr="00914310">
              <w:rPr>
                <w:rFonts w:ascii="Arial" w:hAnsi="Arial" w:cs="Arial"/>
                <w:color w:val="000000"/>
                <w:sz w:val="16"/>
                <w:szCs w:val="16"/>
              </w:rPr>
              <w:t xml:space="preserve"> E</w:t>
            </w:r>
            <w:r w:rsidR="00914310">
              <w:rPr>
                <w:rFonts w:ascii="Arial" w:hAnsi="Arial" w:cs="Arial"/>
                <w:color w:val="000000"/>
                <w:sz w:val="16"/>
                <w:szCs w:val="16"/>
              </w:rPr>
              <w:t>stimada</w:t>
            </w:r>
            <w:r w:rsidRPr="00914310">
              <w:rPr>
                <w:rFonts w:ascii="Arial" w:hAnsi="Arial" w:cs="Arial"/>
                <w:color w:val="000000"/>
                <w:sz w:val="16"/>
                <w:szCs w:val="16"/>
              </w:rPr>
              <w:t xml:space="preserve"> </w:t>
            </w:r>
            <w:r w:rsidR="00914310">
              <w:rPr>
                <w:rFonts w:ascii="Arial" w:hAnsi="Arial" w:cs="Arial"/>
                <w:color w:val="000000"/>
                <w:sz w:val="16"/>
                <w:szCs w:val="16"/>
              </w:rPr>
              <w:t>y</w:t>
            </w:r>
            <w:r w:rsidRPr="00914310">
              <w:rPr>
                <w:rFonts w:ascii="Arial" w:hAnsi="Arial" w:cs="Arial"/>
                <w:color w:val="000000"/>
                <w:sz w:val="16"/>
                <w:szCs w:val="16"/>
              </w:rPr>
              <w:t xml:space="preserve"> P</w:t>
            </w:r>
            <w:r w:rsidR="00914310">
              <w:rPr>
                <w:rFonts w:ascii="Arial" w:hAnsi="Arial" w:cs="Arial"/>
                <w:color w:val="000000"/>
                <w:sz w:val="16"/>
                <w:szCs w:val="16"/>
              </w:rPr>
              <w:t>orcentajes</w:t>
            </w:r>
            <w:r w:rsidRPr="00914310">
              <w:rPr>
                <w:rFonts w:ascii="Arial" w:hAnsi="Arial" w:cs="Arial"/>
                <w:color w:val="000000"/>
                <w:sz w:val="16"/>
                <w:szCs w:val="16"/>
              </w:rPr>
              <w:t xml:space="preserve"> </w:t>
            </w:r>
            <w:r w:rsidR="00914310">
              <w:rPr>
                <w:rFonts w:ascii="Arial" w:hAnsi="Arial" w:cs="Arial"/>
                <w:color w:val="000000"/>
                <w:sz w:val="16"/>
                <w:szCs w:val="16"/>
              </w:rPr>
              <w:t>de</w:t>
            </w:r>
            <w:r w:rsidRPr="00914310">
              <w:rPr>
                <w:rFonts w:ascii="Arial" w:hAnsi="Arial" w:cs="Arial"/>
                <w:color w:val="000000"/>
                <w:sz w:val="16"/>
                <w:szCs w:val="16"/>
              </w:rPr>
              <w:t xml:space="preserve"> D</w:t>
            </w:r>
            <w:r w:rsidR="00914310">
              <w:rPr>
                <w:rFonts w:ascii="Arial" w:hAnsi="Arial" w:cs="Arial"/>
                <w:color w:val="000000"/>
                <w:sz w:val="16"/>
                <w:szCs w:val="16"/>
              </w:rPr>
              <w:t>epreciación</w:t>
            </w:r>
            <w:r w:rsidRPr="00914310">
              <w:rPr>
                <w:rFonts w:ascii="Arial" w:hAnsi="Arial" w:cs="Arial"/>
                <w:color w:val="000000"/>
                <w:sz w:val="16"/>
                <w:szCs w:val="16"/>
              </w:rPr>
              <w:t>” E</w:t>
            </w:r>
            <w:r w:rsidR="00914310">
              <w:rPr>
                <w:rFonts w:ascii="Arial" w:hAnsi="Arial" w:cs="Arial"/>
                <w:color w:val="000000"/>
                <w:sz w:val="16"/>
                <w:szCs w:val="16"/>
              </w:rPr>
              <w:t>mitida por la</w:t>
            </w:r>
            <w:r w:rsidRPr="00914310">
              <w:rPr>
                <w:rFonts w:ascii="Arial" w:hAnsi="Arial" w:cs="Arial"/>
                <w:color w:val="000000"/>
                <w:sz w:val="16"/>
                <w:szCs w:val="16"/>
              </w:rPr>
              <w:t xml:space="preserve"> CONAC (DOF 15-08-2012)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914310">
            <w:pPr>
              <w:rPr>
                <w:rFonts w:ascii="Arial" w:hAnsi="Arial" w:cs="Arial"/>
                <w:color w:val="000000"/>
                <w:sz w:val="17"/>
                <w:szCs w:val="17"/>
              </w:rPr>
            </w:pPr>
            <w:r w:rsidRPr="002D70DA">
              <w:rPr>
                <w:rFonts w:ascii="Arial" w:hAnsi="Arial" w:cs="Arial"/>
                <w:color w:val="000000"/>
                <w:sz w:val="17"/>
                <w:szCs w:val="17"/>
              </w:rPr>
              <w:t> </w:t>
            </w:r>
            <w:r w:rsidR="00914310">
              <w:rPr>
                <w:rFonts w:ascii="Arial" w:hAnsi="Arial" w:cs="Arial"/>
                <w:color w:val="000000"/>
                <w:sz w:val="17"/>
                <w:szCs w:val="17"/>
              </w:rPr>
              <w:t>Dos Vehículos Nuevos 2, Seminuevos en buen estado y 6 vehículos deteriorados en un 92%</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8,195.64</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32450">
            <w:pPr>
              <w:jc w:val="right"/>
              <w:rPr>
                <w:rFonts w:ascii="Arial" w:hAnsi="Arial" w:cs="Arial"/>
                <w:b/>
                <w:bCs/>
                <w:color w:val="000000"/>
                <w:sz w:val="17"/>
                <w:szCs w:val="17"/>
              </w:rPr>
            </w:pPr>
            <w:r>
              <w:rPr>
                <w:rFonts w:ascii="Arial" w:hAnsi="Arial" w:cs="Arial"/>
                <w:b/>
                <w:bCs/>
                <w:color w:val="000000"/>
                <w:sz w:val="17"/>
                <w:szCs w:val="17"/>
              </w:rPr>
              <w:t>26,176.14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F32450" w:rsidRPr="002D70DA">
              <w:rPr>
                <w:rFonts w:ascii="Arial" w:hAnsi="Arial" w:cs="Arial"/>
                <w:color w:val="000000"/>
                <w:sz w:val="17"/>
                <w:szCs w:val="17"/>
              </w:rPr>
              <w:t> </w:t>
            </w:r>
            <w:r w:rsidR="00F10E5B">
              <w:rPr>
                <w:rFonts w:ascii="Arial" w:hAnsi="Arial" w:cs="Arial"/>
                <w:color w:val="000000"/>
                <w:sz w:val="17"/>
                <w:szCs w:val="17"/>
              </w:rPr>
              <w:t>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F32450">
            <w:pPr>
              <w:rPr>
                <w:rFonts w:ascii="Arial" w:hAnsi="Arial" w:cs="Arial"/>
                <w:color w:val="000000"/>
                <w:sz w:val="17"/>
                <w:szCs w:val="17"/>
              </w:rPr>
            </w:pPr>
            <w:r w:rsidRPr="002D70DA">
              <w:rPr>
                <w:rFonts w:ascii="Arial" w:hAnsi="Arial" w:cs="Arial"/>
                <w:color w:val="000000"/>
                <w:sz w:val="17"/>
                <w:szCs w:val="17"/>
              </w:rPr>
              <w:t> </w:t>
            </w:r>
            <w:r w:rsidR="00F32450">
              <w:rPr>
                <w:rFonts w:ascii="Arial" w:hAnsi="Arial" w:cs="Arial"/>
                <w:color w:val="000000"/>
                <w:sz w:val="17"/>
                <w:szCs w:val="17"/>
              </w:rPr>
              <w:t>10% 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914310" w:rsidRDefault="00914310">
            <w:pPr>
              <w:rPr>
                <w:rFonts w:ascii="Arial" w:hAnsi="Arial" w:cs="Arial"/>
                <w:color w:val="000000"/>
                <w:sz w:val="16"/>
                <w:szCs w:val="16"/>
              </w:rPr>
            </w:pPr>
            <w:r w:rsidRPr="00914310">
              <w:rPr>
                <w:rFonts w:ascii="Arial" w:hAnsi="Arial" w:cs="Arial"/>
                <w:color w:val="000000"/>
                <w:sz w:val="16"/>
                <w:szCs w:val="16"/>
              </w:rPr>
              <w:t>D</w:t>
            </w:r>
            <w:r>
              <w:rPr>
                <w:rFonts w:ascii="Arial" w:hAnsi="Arial" w:cs="Arial"/>
                <w:color w:val="000000"/>
                <w:sz w:val="16"/>
                <w:szCs w:val="16"/>
              </w:rPr>
              <w:t xml:space="preserve">e acuerdo a la </w:t>
            </w:r>
            <w:r w:rsidRPr="00914310">
              <w:rPr>
                <w:rFonts w:ascii="Arial" w:hAnsi="Arial" w:cs="Arial"/>
                <w:color w:val="000000"/>
                <w:sz w:val="16"/>
                <w:szCs w:val="16"/>
              </w:rPr>
              <w:t xml:space="preserve"> “G</w:t>
            </w:r>
            <w:r>
              <w:rPr>
                <w:rFonts w:ascii="Arial" w:hAnsi="Arial" w:cs="Arial"/>
                <w:color w:val="000000"/>
                <w:sz w:val="16"/>
                <w:szCs w:val="16"/>
              </w:rPr>
              <w:t>uía</w:t>
            </w:r>
            <w:r w:rsidRPr="00914310">
              <w:rPr>
                <w:rFonts w:ascii="Arial" w:hAnsi="Arial" w:cs="Arial"/>
                <w:color w:val="000000"/>
                <w:sz w:val="16"/>
                <w:szCs w:val="16"/>
              </w:rPr>
              <w:t xml:space="preserve"> </w:t>
            </w:r>
            <w:r>
              <w:rPr>
                <w:rFonts w:ascii="Arial" w:hAnsi="Arial" w:cs="Arial"/>
                <w:color w:val="000000"/>
                <w:sz w:val="16"/>
                <w:szCs w:val="16"/>
              </w:rPr>
              <w:t>de</w:t>
            </w:r>
            <w:r w:rsidRPr="00914310">
              <w:rPr>
                <w:rFonts w:ascii="Arial" w:hAnsi="Arial" w:cs="Arial"/>
                <w:color w:val="000000"/>
                <w:sz w:val="16"/>
                <w:szCs w:val="16"/>
              </w:rPr>
              <w:t xml:space="preserve"> V</w:t>
            </w:r>
            <w:r>
              <w:rPr>
                <w:rFonts w:ascii="Arial" w:hAnsi="Arial" w:cs="Arial"/>
                <w:color w:val="000000"/>
                <w:sz w:val="16"/>
                <w:szCs w:val="16"/>
              </w:rPr>
              <w:t>ida</w:t>
            </w:r>
            <w:r w:rsidRPr="00914310">
              <w:rPr>
                <w:rFonts w:ascii="Arial" w:hAnsi="Arial" w:cs="Arial"/>
                <w:color w:val="000000"/>
                <w:sz w:val="16"/>
                <w:szCs w:val="16"/>
              </w:rPr>
              <w:t xml:space="preserve"> Ú</w:t>
            </w:r>
            <w:r>
              <w:rPr>
                <w:rFonts w:ascii="Arial" w:hAnsi="Arial" w:cs="Arial"/>
                <w:color w:val="000000"/>
                <w:sz w:val="16"/>
                <w:szCs w:val="16"/>
              </w:rPr>
              <w:t>til</w:t>
            </w:r>
            <w:r w:rsidRPr="00914310">
              <w:rPr>
                <w:rFonts w:ascii="Arial" w:hAnsi="Arial" w:cs="Arial"/>
                <w:color w:val="000000"/>
                <w:sz w:val="16"/>
                <w:szCs w:val="16"/>
              </w:rPr>
              <w:t xml:space="preserve"> E</w:t>
            </w:r>
            <w:r>
              <w:rPr>
                <w:rFonts w:ascii="Arial" w:hAnsi="Arial" w:cs="Arial"/>
                <w:color w:val="000000"/>
                <w:sz w:val="16"/>
                <w:szCs w:val="16"/>
              </w:rPr>
              <w:t>stimada</w:t>
            </w:r>
            <w:r w:rsidRPr="00914310">
              <w:rPr>
                <w:rFonts w:ascii="Arial" w:hAnsi="Arial" w:cs="Arial"/>
                <w:color w:val="000000"/>
                <w:sz w:val="16"/>
                <w:szCs w:val="16"/>
              </w:rPr>
              <w:t xml:space="preserve"> </w:t>
            </w:r>
            <w:r>
              <w:rPr>
                <w:rFonts w:ascii="Arial" w:hAnsi="Arial" w:cs="Arial"/>
                <w:color w:val="000000"/>
                <w:sz w:val="16"/>
                <w:szCs w:val="16"/>
              </w:rPr>
              <w:t>y</w:t>
            </w:r>
            <w:r w:rsidRPr="00914310">
              <w:rPr>
                <w:rFonts w:ascii="Arial" w:hAnsi="Arial" w:cs="Arial"/>
                <w:color w:val="000000"/>
                <w:sz w:val="16"/>
                <w:szCs w:val="16"/>
              </w:rPr>
              <w:t xml:space="preserve"> P</w:t>
            </w:r>
            <w:r>
              <w:rPr>
                <w:rFonts w:ascii="Arial" w:hAnsi="Arial" w:cs="Arial"/>
                <w:color w:val="000000"/>
                <w:sz w:val="16"/>
                <w:szCs w:val="16"/>
              </w:rPr>
              <w:t>orcentajes</w:t>
            </w:r>
            <w:r w:rsidRPr="00914310">
              <w:rPr>
                <w:rFonts w:ascii="Arial" w:hAnsi="Arial" w:cs="Arial"/>
                <w:color w:val="000000"/>
                <w:sz w:val="16"/>
                <w:szCs w:val="16"/>
              </w:rPr>
              <w:t xml:space="preserve"> </w:t>
            </w:r>
            <w:r>
              <w:rPr>
                <w:rFonts w:ascii="Arial" w:hAnsi="Arial" w:cs="Arial"/>
                <w:color w:val="000000"/>
                <w:sz w:val="16"/>
                <w:szCs w:val="16"/>
              </w:rPr>
              <w:t>de</w:t>
            </w:r>
            <w:r w:rsidRPr="00914310">
              <w:rPr>
                <w:rFonts w:ascii="Arial" w:hAnsi="Arial" w:cs="Arial"/>
                <w:color w:val="000000"/>
                <w:sz w:val="16"/>
                <w:szCs w:val="16"/>
              </w:rPr>
              <w:t xml:space="preserve"> D</w:t>
            </w:r>
            <w:r>
              <w:rPr>
                <w:rFonts w:ascii="Arial" w:hAnsi="Arial" w:cs="Arial"/>
                <w:color w:val="000000"/>
                <w:sz w:val="16"/>
                <w:szCs w:val="16"/>
              </w:rPr>
              <w:t>epreciación</w:t>
            </w:r>
            <w:r w:rsidRPr="00914310">
              <w:rPr>
                <w:rFonts w:ascii="Arial" w:hAnsi="Arial" w:cs="Arial"/>
                <w:color w:val="000000"/>
                <w:sz w:val="16"/>
                <w:szCs w:val="16"/>
              </w:rPr>
              <w:t>” E</w:t>
            </w:r>
            <w:r>
              <w:rPr>
                <w:rFonts w:ascii="Arial" w:hAnsi="Arial" w:cs="Arial"/>
                <w:color w:val="000000"/>
                <w:sz w:val="16"/>
                <w:szCs w:val="16"/>
              </w:rPr>
              <w:t>mitida por la</w:t>
            </w:r>
            <w:r w:rsidRPr="00914310">
              <w:rPr>
                <w:rFonts w:ascii="Arial" w:hAnsi="Arial" w:cs="Arial"/>
                <w:color w:val="000000"/>
                <w:sz w:val="16"/>
                <w:szCs w:val="16"/>
              </w:rPr>
              <w:t xml:space="preserve"> CONAC (DOF 15-08-2012)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14310">
              <w:rPr>
                <w:rFonts w:ascii="Arial" w:hAnsi="Arial" w:cs="Arial"/>
                <w:color w:val="000000"/>
                <w:sz w:val="17"/>
                <w:szCs w:val="17"/>
              </w:rPr>
              <w:t>DETERIORADO EN UN 90%</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F3245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32450">
              <w:rPr>
                <w:rFonts w:ascii="Arial" w:hAnsi="Arial" w:cs="Arial"/>
                <w:b/>
                <w:bCs/>
                <w:noProof/>
                <w:color w:val="000000"/>
                <w:sz w:val="17"/>
                <w:szCs w:val="17"/>
                <w14:numForm w14:val="lining"/>
              </w:rPr>
              <w:t>286,214.13</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F3245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32450">
              <w:rPr>
                <w:rFonts w:ascii="Arial" w:hAnsi="Arial" w:cs="Arial"/>
                <w:b/>
                <w:bCs/>
                <w:noProof/>
                <w:color w:val="000000"/>
                <w:sz w:val="17"/>
                <w:szCs w:val="17"/>
                <w14:numForm w14:val="lining"/>
              </w:rPr>
              <w:t>576,913.94</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02F3F">
            <w:pPr>
              <w:jc w:val="right"/>
              <w:rPr>
                <w:rFonts w:ascii="Arial" w:hAnsi="Arial" w:cs="Arial"/>
                <w:b/>
                <w:bCs/>
                <w:color w:val="000000"/>
                <w:sz w:val="17"/>
                <w:szCs w:val="17"/>
              </w:rPr>
            </w:pPr>
            <w:r>
              <w:rPr>
                <w:rFonts w:ascii="Arial" w:hAnsi="Arial" w:cs="Arial"/>
                <w:b/>
                <w:bCs/>
                <w:color w:val="000000"/>
                <w:sz w:val="17"/>
                <w:szCs w:val="17"/>
              </w:rPr>
              <w:t>4,642.20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002F3F">
            <w:pPr>
              <w:jc w:val="right"/>
              <w:rPr>
                <w:rFonts w:ascii="Arial" w:hAnsi="Arial" w:cs="Arial"/>
                <w:b/>
                <w:bCs/>
                <w:color w:val="000000"/>
                <w:sz w:val="17"/>
                <w:szCs w:val="17"/>
              </w:rPr>
            </w:pPr>
            <w:r>
              <w:rPr>
                <w:rFonts w:ascii="Arial" w:hAnsi="Arial" w:cs="Arial"/>
                <w:b/>
                <w:bCs/>
                <w:color w:val="000000"/>
                <w:sz w:val="17"/>
                <w:szCs w:val="17"/>
              </w:rPr>
              <w:t>17,353.62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002F3F">
              <w:rPr>
                <w:rFonts w:ascii="Arial" w:hAnsi="Arial" w:cs="Arial"/>
                <w:color w:val="000000"/>
                <w:sz w:val="17"/>
                <w:szCs w:val="17"/>
              </w:rPr>
              <w:t>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002F3F">
              <w:rPr>
                <w:rFonts w:ascii="Arial" w:hAnsi="Arial" w:cs="Arial"/>
                <w:color w:val="000000"/>
                <w:sz w:val="17"/>
                <w:szCs w:val="17"/>
              </w:rPr>
              <w:t>3.3% 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002F3F" w:rsidRPr="00914310">
              <w:rPr>
                <w:rFonts w:ascii="Arial" w:hAnsi="Arial" w:cs="Arial"/>
                <w:color w:val="000000"/>
                <w:sz w:val="16"/>
                <w:szCs w:val="16"/>
              </w:rPr>
              <w:t>D</w:t>
            </w:r>
            <w:r w:rsidR="00002F3F">
              <w:rPr>
                <w:rFonts w:ascii="Arial" w:hAnsi="Arial" w:cs="Arial"/>
                <w:color w:val="000000"/>
                <w:sz w:val="16"/>
                <w:szCs w:val="16"/>
              </w:rPr>
              <w:t xml:space="preserve">e acuerdo a la </w:t>
            </w:r>
            <w:r w:rsidR="00002F3F" w:rsidRPr="00914310">
              <w:rPr>
                <w:rFonts w:ascii="Arial" w:hAnsi="Arial" w:cs="Arial"/>
                <w:color w:val="000000"/>
                <w:sz w:val="16"/>
                <w:szCs w:val="16"/>
              </w:rPr>
              <w:t xml:space="preserve"> “G</w:t>
            </w:r>
            <w:r w:rsidR="00002F3F">
              <w:rPr>
                <w:rFonts w:ascii="Arial" w:hAnsi="Arial" w:cs="Arial"/>
                <w:color w:val="000000"/>
                <w:sz w:val="16"/>
                <w:szCs w:val="16"/>
              </w:rPr>
              <w:t>uía</w:t>
            </w:r>
            <w:r w:rsidR="00002F3F" w:rsidRPr="00914310">
              <w:rPr>
                <w:rFonts w:ascii="Arial" w:hAnsi="Arial" w:cs="Arial"/>
                <w:color w:val="000000"/>
                <w:sz w:val="16"/>
                <w:szCs w:val="16"/>
              </w:rPr>
              <w:t xml:space="preserve"> </w:t>
            </w:r>
            <w:r w:rsidR="00002F3F">
              <w:rPr>
                <w:rFonts w:ascii="Arial" w:hAnsi="Arial" w:cs="Arial"/>
                <w:color w:val="000000"/>
                <w:sz w:val="16"/>
                <w:szCs w:val="16"/>
              </w:rPr>
              <w:t>de</w:t>
            </w:r>
            <w:r w:rsidR="00002F3F" w:rsidRPr="00914310">
              <w:rPr>
                <w:rFonts w:ascii="Arial" w:hAnsi="Arial" w:cs="Arial"/>
                <w:color w:val="000000"/>
                <w:sz w:val="16"/>
                <w:szCs w:val="16"/>
              </w:rPr>
              <w:t xml:space="preserve"> V</w:t>
            </w:r>
            <w:r w:rsidR="00002F3F">
              <w:rPr>
                <w:rFonts w:ascii="Arial" w:hAnsi="Arial" w:cs="Arial"/>
                <w:color w:val="000000"/>
                <w:sz w:val="16"/>
                <w:szCs w:val="16"/>
              </w:rPr>
              <w:t>ida</w:t>
            </w:r>
            <w:r w:rsidR="00002F3F" w:rsidRPr="00914310">
              <w:rPr>
                <w:rFonts w:ascii="Arial" w:hAnsi="Arial" w:cs="Arial"/>
                <w:color w:val="000000"/>
                <w:sz w:val="16"/>
                <w:szCs w:val="16"/>
              </w:rPr>
              <w:t xml:space="preserve"> Ú</w:t>
            </w:r>
            <w:r w:rsidR="00002F3F">
              <w:rPr>
                <w:rFonts w:ascii="Arial" w:hAnsi="Arial" w:cs="Arial"/>
                <w:color w:val="000000"/>
                <w:sz w:val="16"/>
                <w:szCs w:val="16"/>
              </w:rPr>
              <w:t>til</w:t>
            </w:r>
            <w:r w:rsidR="00002F3F" w:rsidRPr="00914310">
              <w:rPr>
                <w:rFonts w:ascii="Arial" w:hAnsi="Arial" w:cs="Arial"/>
                <w:color w:val="000000"/>
                <w:sz w:val="16"/>
                <w:szCs w:val="16"/>
              </w:rPr>
              <w:t xml:space="preserve"> E</w:t>
            </w:r>
            <w:r w:rsidR="00002F3F">
              <w:rPr>
                <w:rFonts w:ascii="Arial" w:hAnsi="Arial" w:cs="Arial"/>
                <w:color w:val="000000"/>
                <w:sz w:val="16"/>
                <w:szCs w:val="16"/>
              </w:rPr>
              <w:t>stimada</w:t>
            </w:r>
            <w:r w:rsidR="00002F3F" w:rsidRPr="00914310">
              <w:rPr>
                <w:rFonts w:ascii="Arial" w:hAnsi="Arial" w:cs="Arial"/>
                <w:color w:val="000000"/>
                <w:sz w:val="16"/>
                <w:szCs w:val="16"/>
              </w:rPr>
              <w:t xml:space="preserve"> </w:t>
            </w:r>
            <w:r w:rsidR="00002F3F">
              <w:rPr>
                <w:rFonts w:ascii="Arial" w:hAnsi="Arial" w:cs="Arial"/>
                <w:color w:val="000000"/>
                <w:sz w:val="16"/>
                <w:szCs w:val="16"/>
              </w:rPr>
              <w:t>y</w:t>
            </w:r>
            <w:r w:rsidR="00002F3F" w:rsidRPr="00914310">
              <w:rPr>
                <w:rFonts w:ascii="Arial" w:hAnsi="Arial" w:cs="Arial"/>
                <w:color w:val="000000"/>
                <w:sz w:val="16"/>
                <w:szCs w:val="16"/>
              </w:rPr>
              <w:t xml:space="preserve"> P</w:t>
            </w:r>
            <w:r w:rsidR="00002F3F">
              <w:rPr>
                <w:rFonts w:ascii="Arial" w:hAnsi="Arial" w:cs="Arial"/>
                <w:color w:val="000000"/>
                <w:sz w:val="16"/>
                <w:szCs w:val="16"/>
              </w:rPr>
              <w:t>orcentajes</w:t>
            </w:r>
            <w:r w:rsidR="00002F3F" w:rsidRPr="00914310">
              <w:rPr>
                <w:rFonts w:ascii="Arial" w:hAnsi="Arial" w:cs="Arial"/>
                <w:color w:val="000000"/>
                <w:sz w:val="16"/>
                <w:szCs w:val="16"/>
              </w:rPr>
              <w:t xml:space="preserve"> </w:t>
            </w:r>
            <w:r w:rsidR="00002F3F">
              <w:rPr>
                <w:rFonts w:ascii="Arial" w:hAnsi="Arial" w:cs="Arial"/>
                <w:color w:val="000000"/>
                <w:sz w:val="16"/>
                <w:szCs w:val="16"/>
              </w:rPr>
              <w:t>de</w:t>
            </w:r>
            <w:r w:rsidR="00002F3F" w:rsidRPr="00914310">
              <w:rPr>
                <w:rFonts w:ascii="Arial" w:hAnsi="Arial" w:cs="Arial"/>
                <w:color w:val="000000"/>
                <w:sz w:val="16"/>
                <w:szCs w:val="16"/>
              </w:rPr>
              <w:t xml:space="preserve"> D</w:t>
            </w:r>
            <w:r w:rsidR="00002F3F">
              <w:rPr>
                <w:rFonts w:ascii="Arial" w:hAnsi="Arial" w:cs="Arial"/>
                <w:color w:val="000000"/>
                <w:sz w:val="16"/>
                <w:szCs w:val="16"/>
              </w:rPr>
              <w:t>epreciación</w:t>
            </w:r>
            <w:r w:rsidR="00002F3F" w:rsidRPr="00914310">
              <w:rPr>
                <w:rFonts w:ascii="Arial" w:hAnsi="Arial" w:cs="Arial"/>
                <w:color w:val="000000"/>
                <w:sz w:val="16"/>
                <w:szCs w:val="16"/>
              </w:rPr>
              <w:t>” E</w:t>
            </w:r>
            <w:r w:rsidR="00002F3F">
              <w:rPr>
                <w:rFonts w:ascii="Arial" w:hAnsi="Arial" w:cs="Arial"/>
                <w:color w:val="000000"/>
                <w:sz w:val="16"/>
                <w:szCs w:val="16"/>
              </w:rPr>
              <w:t>mitida por la</w:t>
            </w:r>
            <w:r w:rsidR="00002F3F" w:rsidRPr="00914310">
              <w:rPr>
                <w:rFonts w:ascii="Arial" w:hAnsi="Arial" w:cs="Arial"/>
                <w:color w:val="000000"/>
                <w:sz w:val="16"/>
                <w:szCs w:val="16"/>
              </w:rPr>
              <w:t xml:space="preserve"> CONAC (DOF 15-08-2012)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002F3F">
              <w:rPr>
                <w:rFonts w:ascii="Arial" w:hAnsi="Arial" w:cs="Arial"/>
                <w:color w:val="000000"/>
                <w:sz w:val="17"/>
                <w:szCs w:val="17"/>
              </w:rPr>
              <w:t>En Uso</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002F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2F3F">
              <w:rPr>
                <w:rFonts w:ascii="Arial" w:hAnsi="Arial" w:cs="Arial"/>
                <w:b/>
                <w:bCs/>
                <w:noProof/>
                <w:color w:val="000000"/>
                <w:sz w:val="17"/>
                <w:szCs w:val="17"/>
                <w14:numForm w14:val="lining"/>
              </w:rPr>
              <w:t>4,642.20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002F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2F3F">
              <w:rPr>
                <w:rFonts w:ascii="Arial" w:hAnsi="Arial" w:cs="Arial"/>
                <w:b/>
                <w:bCs/>
                <w:noProof/>
                <w:color w:val="000000"/>
                <w:sz w:val="17"/>
                <w:szCs w:val="17"/>
                <w14:numForm w14:val="lining"/>
              </w:rPr>
              <w:t>17,353.62</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002F3F">
            <w:pPr>
              <w:jc w:val="right"/>
              <w:rPr>
                <w:rFonts w:ascii="Arial" w:hAnsi="Arial" w:cs="Arial"/>
                <w:b/>
                <w:bCs/>
                <w:color w:val="000000"/>
                <w:sz w:val="17"/>
                <w:szCs w:val="17"/>
              </w:rPr>
            </w:pPr>
            <w:r>
              <w:rPr>
                <w:rFonts w:ascii="Arial" w:hAnsi="Arial" w:cs="Arial"/>
                <w:b/>
                <w:bCs/>
                <w:color w:val="000000"/>
                <w:sz w:val="17"/>
                <w:szCs w:val="17"/>
              </w:rPr>
              <w:t>450,950.00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002F3F">
            <w:pPr>
              <w:jc w:val="right"/>
              <w:rPr>
                <w:rFonts w:ascii="Arial" w:hAnsi="Arial" w:cs="Arial"/>
                <w:b/>
                <w:bCs/>
                <w:color w:val="000000"/>
                <w:sz w:val="17"/>
                <w:szCs w:val="17"/>
              </w:rPr>
            </w:pPr>
            <w:r>
              <w:rPr>
                <w:rFonts w:ascii="Arial" w:hAnsi="Arial" w:cs="Arial"/>
                <w:b/>
                <w:bCs/>
                <w:color w:val="000000"/>
                <w:sz w:val="17"/>
                <w:szCs w:val="17"/>
              </w:rPr>
              <w:t>7,250.00</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002F3F">
            <w:pPr>
              <w:jc w:val="right"/>
              <w:rPr>
                <w:rFonts w:ascii="Arial" w:hAnsi="Arial" w:cs="Arial"/>
                <w:b/>
                <w:bCs/>
                <w:color w:val="000000"/>
                <w:sz w:val="17"/>
                <w:szCs w:val="17"/>
              </w:rPr>
            </w:pPr>
            <w:r>
              <w:rPr>
                <w:rFonts w:ascii="Arial" w:hAnsi="Arial" w:cs="Arial"/>
                <w:b/>
                <w:bCs/>
                <w:color w:val="000000"/>
                <w:sz w:val="17"/>
                <w:szCs w:val="17"/>
              </w:rPr>
              <w:t>34,800.00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rsidP="00002F3F">
            <w:pPr>
              <w:rPr>
                <w:rFonts w:ascii="Arial" w:hAnsi="Arial" w:cs="Arial"/>
                <w:color w:val="000000"/>
                <w:sz w:val="17"/>
                <w:szCs w:val="17"/>
              </w:rPr>
            </w:pPr>
            <w:r w:rsidRPr="002D70DA">
              <w:rPr>
                <w:rFonts w:ascii="Arial" w:hAnsi="Arial" w:cs="Arial"/>
                <w:color w:val="000000"/>
                <w:sz w:val="17"/>
                <w:szCs w:val="17"/>
              </w:rPr>
              <w:t> </w:t>
            </w:r>
            <w:r w:rsidR="00002F3F">
              <w:rPr>
                <w:rFonts w:ascii="Arial" w:hAnsi="Arial" w:cs="Arial"/>
                <w:color w:val="000000"/>
                <w:sz w:val="17"/>
                <w:szCs w:val="17"/>
              </w:rPr>
              <w:t>25% 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rsidP="00002F3F">
            <w:pPr>
              <w:rPr>
                <w:rFonts w:ascii="Arial" w:hAnsi="Arial" w:cs="Arial"/>
                <w:color w:val="000000"/>
                <w:sz w:val="17"/>
                <w:szCs w:val="17"/>
              </w:rPr>
            </w:pPr>
            <w:r w:rsidRPr="002D70DA">
              <w:rPr>
                <w:rFonts w:ascii="Arial" w:hAnsi="Arial" w:cs="Arial"/>
                <w:color w:val="000000"/>
                <w:sz w:val="17"/>
                <w:szCs w:val="17"/>
              </w:rPr>
              <w:t> </w:t>
            </w:r>
            <w:r w:rsidR="00002F3F">
              <w:rPr>
                <w:rFonts w:ascii="Arial" w:hAnsi="Arial" w:cs="Arial"/>
                <w:color w:val="000000"/>
                <w:sz w:val="17"/>
                <w:szCs w:val="17"/>
              </w:rPr>
              <w:t>Línea Recta, (En base a estimación d vida útil de conformidad con principales Reglas de Registro y Valoración del Patrimonio del 27-</w:t>
            </w:r>
            <w:r w:rsidR="00002F3F">
              <w:rPr>
                <w:rFonts w:ascii="Arial" w:hAnsi="Arial" w:cs="Arial"/>
                <w:color w:val="000000"/>
                <w:sz w:val="17"/>
                <w:szCs w:val="17"/>
              </w:rPr>
              <w:lastRenderedPageBreak/>
              <w:t>12-2010 y Reglas Específicas Registro de Valoración del Patrimonio del 13/12/2011)</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lastRenderedPageBreak/>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002F3F">
            <w:pPr>
              <w:jc w:val="right"/>
              <w:rPr>
                <w:rFonts w:ascii="Arial" w:hAnsi="Arial" w:cs="Arial"/>
                <w:b/>
                <w:bCs/>
                <w:color w:val="000000"/>
                <w:sz w:val="17"/>
                <w:szCs w:val="17"/>
              </w:rPr>
            </w:pPr>
            <w:r>
              <w:rPr>
                <w:rFonts w:ascii="Arial" w:hAnsi="Arial" w:cs="Arial"/>
                <w:b/>
                <w:bCs/>
                <w:color w:val="000000"/>
                <w:sz w:val="17"/>
                <w:szCs w:val="17"/>
              </w:rPr>
              <w:t>2,500,000.00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36768F">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36768F">
              <w:rPr>
                <w:rFonts w:ascii="Arial" w:hAnsi="Arial" w:cs="Arial"/>
                <w:color w:val="000000"/>
                <w:sz w:val="17"/>
                <w:szCs w:val="17"/>
              </w:rPr>
              <w:t>No aplica</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002F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2F3F">
              <w:rPr>
                <w:rFonts w:ascii="Arial" w:hAnsi="Arial" w:cs="Arial"/>
                <w:b/>
                <w:bCs/>
                <w:noProof/>
                <w:color w:val="000000"/>
                <w:sz w:val="17"/>
                <w:szCs w:val="17"/>
                <w14:numForm w14:val="lining"/>
              </w:rPr>
              <w:t>2,950,950.00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002F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2F3F">
              <w:rPr>
                <w:rFonts w:ascii="Arial" w:hAnsi="Arial" w:cs="Arial"/>
                <w:b/>
                <w:bCs/>
                <w:noProof/>
                <w:color w:val="000000"/>
                <w:sz w:val="17"/>
                <w:szCs w:val="17"/>
                <w14:numForm w14:val="lining"/>
              </w:rPr>
              <w:t>7,250.00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002F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2F3F">
              <w:rPr>
                <w:rFonts w:ascii="Arial" w:hAnsi="Arial" w:cs="Arial"/>
                <w:b/>
                <w:bCs/>
                <w:noProof/>
                <w:color w:val="000000"/>
                <w:sz w:val="17"/>
                <w:szCs w:val="17"/>
                <w14:numForm w14:val="lining"/>
              </w:rPr>
              <w:t>34,800.00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11249" w:type="dxa"/>
        <w:jc w:val="center"/>
        <w:tblCellMar>
          <w:left w:w="70" w:type="dxa"/>
          <w:right w:w="70" w:type="dxa"/>
        </w:tblCellMar>
        <w:tblLook w:val="04A0" w:firstRow="1" w:lastRow="0" w:firstColumn="1" w:lastColumn="0" w:noHBand="0" w:noVBand="1"/>
      </w:tblPr>
      <w:tblGrid>
        <w:gridCol w:w="5579"/>
        <w:gridCol w:w="5670"/>
      </w:tblGrid>
      <w:tr w:rsidR="00D718EB" w:rsidRPr="002D70DA" w:rsidTr="0036768F">
        <w:trPr>
          <w:trHeight w:val="715"/>
          <w:jc w:val="center"/>
        </w:trPr>
        <w:tc>
          <w:tcPr>
            <w:tcW w:w="557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567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36768F">
        <w:trPr>
          <w:trHeight w:val="477"/>
          <w:jc w:val="center"/>
        </w:trPr>
        <w:tc>
          <w:tcPr>
            <w:tcW w:w="5579"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567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rsidP="0036768F">
            <w:pPr>
              <w:rPr>
                <w:rFonts w:ascii="Arial" w:hAnsi="Arial" w:cs="Arial"/>
                <w:color w:val="000000"/>
                <w:sz w:val="17"/>
                <w:szCs w:val="17"/>
              </w:rPr>
            </w:pPr>
            <w:r w:rsidRPr="002D70DA">
              <w:rPr>
                <w:rFonts w:ascii="Arial" w:hAnsi="Arial" w:cs="Arial"/>
                <w:color w:val="000000"/>
                <w:sz w:val="17"/>
                <w:szCs w:val="17"/>
              </w:rPr>
              <w:t> </w:t>
            </w:r>
            <w:r w:rsidR="0036768F">
              <w:rPr>
                <w:rFonts w:ascii="Arial" w:hAnsi="Arial" w:cs="Arial"/>
                <w:color w:val="000000"/>
                <w:sz w:val="17"/>
                <w:szCs w:val="17"/>
              </w:rPr>
              <w:t>$2</w:t>
            </w:r>
            <w:proofErr w:type="gramStart"/>
            <w:r w:rsidR="0036768F">
              <w:rPr>
                <w:rFonts w:ascii="Arial" w:hAnsi="Arial" w:cs="Arial"/>
                <w:color w:val="000000"/>
                <w:sz w:val="17"/>
                <w:szCs w:val="17"/>
              </w:rPr>
              <w:t>,280,297.81</w:t>
            </w:r>
            <w:proofErr w:type="gramEnd"/>
            <w:r w:rsidR="0036768F">
              <w:rPr>
                <w:rFonts w:ascii="Arial" w:hAnsi="Arial" w:cs="Arial"/>
                <w:color w:val="000000"/>
                <w:sz w:val="17"/>
                <w:szCs w:val="17"/>
              </w:rPr>
              <w:t xml:space="preserve"> Saldos con antigüedad mayor a 90 días de acuerdo con la fecha de exigibilidad que conste en algún instrumento jurídico, se provisiona dentro de las estimaciones de cobro dudoso.</w:t>
            </w:r>
          </w:p>
        </w:tc>
      </w:tr>
      <w:tr w:rsidR="00D718EB" w:rsidRPr="002D70DA" w:rsidTr="0036768F">
        <w:trPr>
          <w:trHeight w:val="477"/>
          <w:jc w:val="center"/>
        </w:trPr>
        <w:tc>
          <w:tcPr>
            <w:tcW w:w="5579"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567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36768F">
            <w:pPr>
              <w:rPr>
                <w:rFonts w:ascii="Arial" w:hAnsi="Arial" w:cs="Arial"/>
                <w:color w:val="000000"/>
                <w:sz w:val="17"/>
                <w:szCs w:val="17"/>
              </w:rPr>
            </w:pPr>
            <w:r>
              <w:rPr>
                <w:rFonts w:ascii="Arial" w:hAnsi="Arial" w:cs="Arial"/>
                <w:color w:val="000000"/>
                <w:sz w:val="17"/>
                <w:szCs w:val="17"/>
              </w:rPr>
              <w:t xml:space="preserve">Saldos con antigüedad mayor a 90 días de acuerdo con la fecha de exigibilidad que conste en algún instrumento jurídico, se provisiona dentro de las estimaciones de cobro dudoso. </w:t>
            </w:r>
          </w:p>
        </w:tc>
      </w:tr>
      <w:tr w:rsidR="0036768F" w:rsidRPr="002D70DA" w:rsidTr="0036768F">
        <w:trPr>
          <w:trHeight w:val="477"/>
          <w:jc w:val="center"/>
        </w:trPr>
        <w:tc>
          <w:tcPr>
            <w:tcW w:w="5579" w:type="dxa"/>
            <w:tcBorders>
              <w:top w:val="nil"/>
              <w:left w:val="single" w:sz="4" w:space="0" w:color="auto"/>
              <w:bottom w:val="single" w:sz="4" w:space="0" w:color="auto"/>
              <w:right w:val="single" w:sz="4" w:space="0" w:color="auto"/>
            </w:tcBorders>
            <w:shd w:val="clear" w:color="auto" w:fill="auto"/>
            <w:vAlign w:val="center"/>
            <w:hideMark/>
          </w:tcPr>
          <w:p w:rsidR="0036768F" w:rsidRPr="002D70DA" w:rsidRDefault="0036768F">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5670" w:type="dxa"/>
            <w:tcBorders>
              <w:top w:val="nil"/>
              <w:left w:val="nil"/>
              <w:bottom w:val="single" w:sz="4" w:space="0" w:color="auto"/>
              <w:right w:val="single" w:sz="4" w:space="0" w:color="auto"/>
            </w:tcBorders>
            <w:shd w:val="clear" w:color="auto" w:fill="D5DCE4" w:themeFill="text2" w:themeFillTint="33"/>
            <w:vAlign w:val="center"/>
            <w:hideMark/>
          </w:tcPr>
          <w:p w:rsidR="0036768F" w:rsidRPr="002D70DA" w:rsidRDefault="0036768F" w:rsidP="00471062">
            <w:pPr>
              <w:rPr>
                <w:rFonts w:ascii="Arial" w:hAnsi="Arial" w:cs="Arial"/>
                <w:color w:val="000000"/>
                <w:sz w:val="17"/>
                <w:szCs w:val="17"/>
              </w:rPr>
            </w:pPr>
            <w:r>
              <w:rPr>
                <w:rFonts w:ascii="Arial" w:hAnsi="Arial" w:cs="Arial"/>
                <w:color w:val="000000"/>
                <w:sz w:val="17"/>
                <w:szCs w:val="17"/>
              </w:rPr>
              <w:t xml:space="preserve">Saldos con antigüedad mayor a 90 días de acuerdo con la fecha de exigibilidad que conste en algún instrumento jurídico, se provisiona dentro de las estimaciones de cobro dudoso. </w:t>
            </w:r>
          </w:p>
        </w:tc>
      </w:tr>
      <w:tr w:rsidR="0036768F" w:rsidRPr="002D70DA" w:rsidTr="0036768F">
        <w:trPr>
          <w:trHeight w:val="477"/>
          <w:jc w:val="center"/>
        </w:trPr>
        <w:tc>
          <w:tcPr>
            <w:tcW w:w="5579" w:type="dxa"/>
            <w:tcBorders>
              <w:top w:val="nil"/>
              <w:left w:val="single" w:sz="4" w:space="0" w:color="auto"/>
              <w:bottom w:val="single" w:sz="4" w:space="0" w:color="auto"/>
              <w:right w:val="single" w:sz="4" w:space="0" w:color="auto"/>
            </w:tcBorders>
            <w:shd w:val="clear" w:color="auto" w:fill="auto"/>
            <w:vAlign w:val="center"/>
            <w:hideMark/>
          </w:tcPr>
          <w:p w:rsidR="0036768F" w:rsidRPr="002D70DA" w:rsidRDefault="0036768F">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5670" w:type="dxa"/>
            <w:tcBorders>
              <w:top w:val="nil"/>
              <w:left w:val="nil"/>
              <w:bottom w:val="single" w:sz="4" w:space="0" w:color="auto"/>
              <w:right w:val="single" w:sz="4" w:space="0" w:color="auto"/>
            </w:tcBorders>
            <w:shd w:val="clear" w:color="auto" w:fill="D5DCE4" w:themeFill="text2" w:themeFillTint="33"/>
            <w:vAlign w:val="center"/>
            <w:hideMark/>
          </w:tcPr>
          <w:p w:rsidR="0036768F" w:rsidRPr="002D70DA" w:rsidRDefault="0036768F" w:rsidP="00471062">
            <w:pPr>
              <w:rPr>
                <w:rFonts w:ascii="Arial" w:hAnsi="Arial" w:cs="Arial"/>
                <w:color w:val="000000"/>
                <w:sz w:val="17"/>
                <w:szCs w:val="17"/>
              </w:rPr>
            </w:pPr>
            <w:r>
              <w:rPr>
                <w:rFonts w:ascii="Arial" w:hAnsi="Arial" w:cs="Arial"/>
                <w:color w:val="000000"/>
                <w:sz w:val="17"/>
                <w:szCs w:val="17"/>
              </w:rPr>
              <w:t xml:space="preserve">Saldos con antigüedad mayor a 90 días de acuerdo con la fecha de exigibilidad que conste en algún instrumento jurídico, se provisiona dentro de las estimaciones de cobro dudoso. </w:t>
            </w:r>
          </w:p>
        </w:tc>
      </w:tr>
      <w:tr w:rsidR="0036768F" w:rsidRPr="002D70DA" w:rsidTr="0036768F">
        <w:trPr>
          <w:trHeight w:val="477"/>
          <w:jc w:val="center"/>
        </w:trPr>
        <w:tc>
          <w:tcPr>
            <w:tcW w:w="5579" w:type="dxa"/>
            <w:tcBorders>
              <w:top w:val="nil"/>
              <w:left w:val="single" w:sz="4" w:space="0" w:color="auto"/>
              <w:bottom w:val="single" w:sz="4" w:space="0" w:color="auto"/>
              <w:right w:val="single" w:sz="4" w:space="0" w:color="auto"/>
            </w:tcBorders>
            <w:shd w:val="clear" w:color="auto" w:fill="auto"/>
            <w:vAlign w:val="center"/>
            <w:hideMark/>
          </w:tcPr>
          <w:p w:rsidR="0036768F" w:rsidRPr="002D70DA" w:rsidRDefault="0036768F">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5670" w:type="dxa"/>
            <w:tcBorders>
              <w:top w:val="nil"/>
              <w:left w:val="nil"/>
              <w:bottom w:val="single" w:sz="4" w:space="0" w:color="auto"/>
              <w:right w:val="single" w:sz="4" w:space="0" w:color="auto"/>
            </w:tcBorders>
            <w:shd w:val="clear" w:color="auto" w:fill="D5DCE4" w:themeFill="text2" w:themeFillTint="33"/>
            <w:vAlign w:val="center"/>
            <w:hideMark/>
          </w:tcPr>
          <w:p w:rsidR="0036768F" w:rsidRPr="002D70DA" w:rsidRDefault="0036768F" w:rsidP="00471062">
            <w:pPr>
              <w:rPr>
                <w:rFonts w:ascii="Arial" w:hAnsi="Arial" w:cs="Arial"/>
                <w:color w:val="000000"/>
                <w:sz w:val="17"/>
                <w:szCs w:val="17"/>
              </w:rPr>
            </w:pPr>
            <w:r>
              <w:rPr>
                <w:rFonts w:ascii="Arial" w:hAnsi="Arial" w:cs="Arial"/>
                <w:color w:val="000000"/>
                <w:sz w:val="17"/>
                <w:szCs w:val="17"/>
              </w:rPr>
              <w:t xml:space="preserve">Saldos con antigüedad mayor a 90 días de acuerdo con la fecha de exigibilidad que conste en algún instrumento jurídico, se provisiona dentro de las estimaciones de cobro dudoso. </w:t>
            </w:r>
          </w:p>
        </w:tc>
      </w:tr>
      <w:tr w:rsidR="0036768F" w:rsidRPr="002D70DA" w:rsidTr="0036768F">
        <w:trPr>
          <w:trHeight w:val="238"/>
          <w:jc w:val="center"/>
        </w:trPr>
        <w:tc>
          <w:tcPr>
            <w:tcW w:w="5579" w:type="dxa"/>
            <w:tcBorders>
              <w:top w:val="nil"/>
              <w:left w:val="single" w:sz="4" w:space="0" w:color="auto"/>
              <w:bottom w:val="single" w:sz="4" w:space="0" w:color="auto"/>
              <w:right w:val="single" w:sz="4" w:space="0" w:color="auto"/>
            </w:tcBorders>
            <w:shd w:val="clear" w:color="auto" w:fill="auto"/>
            <w:vAlign w:val="center"/>
            <w:hideMark/>
          </w:tcPr>
          <w:p w:rsidR="0036768F" w:rsidRPr="002D70DA" w:rsidRDefault="0036768F">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5670" w:type="dxa"/>
            <w:tcBorders>
              <w:top w:val="nil"/>
              <w:left w:val="nil"/>
              <w:bottom w:val="single" w:sz="4" w:space="0" w:color="auto"/>
              <w:right w:val="single" w:sz="4" w:space="0" w:color="auto"/>
            </w:tcBorders>
            <w:shd w:val="clear" w:color="auto" w:fill="D5DCE4" w:themeFill="text2" w:themeFillTint="33"/>
            <w:vAlign w:val="center"/>
            <w:hideMark/>
          </w:tcPr>
          <w:p w:rsidR="0036768F" w:rsidRPr="002D70DA" w:rsidRDefault="0036768F">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36768F" w:rsidRDefault="0036768F">
            <w:pPr>
              <w:jc w:val="center"/>
              <w:rPr>
                <w:rFonts w:ascii="Arial" w:hAnsi="Arial" w:cs="Arial"/>
                <w:b/>
                <w:color w:val="000000"/>
                <w:sz w:val="17"/>
                <w:szCs w:val="17"/>
              </w:rPr>
            </w:pPr>
            <w:r w:rsidRPr="0036768F">
              <w:rPr>
                <w:rFonts w:ascii="Arial" w:hAnsi="Arial" w:cs="Arial"/>
                <w:b/>
                <w:color w:val="000000"/>
                <w:sz w:val="17"/>
                <w:szCs w:val="17"/>
              </w:rPr>
              <w:t>“NO APLICA”</w:t>
            </w:r>
            <w:r w:rsidR="00A92123" w:rsidRPr="0036768F">
              <w:rPr>
                <w:rFonts w:ascii="Arial" w:hAnsi="Arial" w:cs="Arial"/>
                <w:b/>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36768F" w:rsidP="00A92123">
            <w:pPr>
              <w:jc w:val="right"/>
              <w:rPr>
                <w:rFonts w:ascii="Arial" w:hAnsi="Arial" w:cs="Arial"/>
                <w:b/>
                <w:bCs/>
                <w:color w:val="000000"/>
                <w:sz w:val="17"/>
                <w:szCs w:val="17"/>
              </w:rPr>
            </w:pPr>
            <w:r>
              <w:rPr>
                <w:rFonts w:ascii="Arial" w:hAnsi="Arial" w:cs="Arial"/>
                <w:b/>
                <w:bCs/>
                <w:color w:val="000000"/>
                <w:sz w:val="17"/>
                <w:szCs w:val="17"/>
              </w:rPr>
              <w:t>54,540,494.04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9458C5">
            <w:pPr>
              <w:rPr>
                <w:rFonts w:ascii="Arial" w:hAnsi="Arial" w:cs="Arial"/>
                <w:color w:val="000000"/>
                <w:sz w:val="17"/>
                <w:szCs w:val="17"/>
              </w:rPr>
            </w:pPr>
            <w:r w:rsidRPr="002D70DA">
              <w:rPr>
                <w:rFonts w:ascii="Arial" w:hAnsi="Arial" w:cs="Arial"/>
                <w:color w:val="000000"/>
                <w:sz w:val="17"/>
                <w:szCs w:val="17"/>
              </w:rPr>
              <w:t> </w:t>
            </w:r>
            <w:r w:rsidR="009458C5">
              <w:rPr>
                <w:rFonts w:ascii="Arial" w:hAnsi="Arial" w:cs="Arial"/>
                <w:color w:val="000000"/>
                <w:sz w:val="17"/>
                <w:szCs w:val="17"/>
              </w:rPr>
              <w:t>Se tienen 3 Inmuebles en comodato y están valuados a Valor Catastral, según lo establece el Art. 27 de la LGCG de los cuales 2 se encuentran en proceso de Transmisión.</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36768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6768F">
              <w:rPr>
                <w:rFonts w:ascii="Arial" w:hAnsi="Arial" w:cs="Arial"/>
                <w:b/>
                <w:bCs/>
                <w:noProof/>
                <w:color w:val="000000"/>
                <w:sz w:val="17"/>
                <w:szCs w:val="17"/>
                <w14:numForm w14:val="lining"/>
              </w:rPr>
              <w:t>54,540,494.04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36768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6768F">
              <w:rPr>
                <w:rFonts w:ascii="Arial" w:hAnsi="Arial" w:cs="Arial"/>
                <w:b/>
                <w:bCs/>
                <w:noProof/>
                <w:color w:val="000000"/>
                <w:sz w:val="17"/>
                <w:szCs w:val="17"/>
                <w14:numForm w14:val="lining"/>
              </w:rPr>
              <w:t>54,540,494.04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9458C5" w:rsidP="009458C5">
            <w:pPr>
              <w:jc w:val="right"/>
              <w:rPr>
                <w:rFonts w:ascii="Arial" w:hAnsi="Arial" w:cs="Arial"/>
                <w:b/>
                <w:bCs/>
                <w:color w:val="000000"/>
                <w:sz w:val="17"/>
                <w:szCs w:val="17"/>
              </w:rPr>
            </w:pPr>
            <w:r>
              <w:rPr>
                <w:rFonts w:ascii="Arial" w:hAnsi="Arial" w:cs="Arial"/>
                <w:b/>
                <w:bCs/>
                <w:color w:val="000000"/>
                <w:sz w:val="17"/>
                <w:szCs w:val="17"/>
              </w:rPr>
              <w:t>40,711.33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458C5">
            <w:pPr>
              <w:jc w:val="right"/>
              <w:rPr>
                <w:rFonts w:ascii="Arial" w:hAnsi="Arial" w:cs="Arial"/>
                <w:b/>
                <w:bCs/>
                <w:color w:val="000000"/>
                <w:sz w:val="17"/>
                <w:szCs w:val="17"/>
              </w:rPr>
            </w:pPr>
            <w:r>
              <w:rPr>
                <w:rFonts w:ascii="Arial" w:hAnsi="Arial" w:cs="Arial"/>
                <w:b/>
                <w:bCs/>
                <w:color w:val="000000"/>
                <w:sz w:val="17"/>
                <w:szCs w:val="17"/>
              </w:rPr>
              <w:t>87,000.00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458C5">
            <w:pPr>
              <w:jc w:val="right"/>
              <w:rPr>
                <w:rFonts w:ascii="Arial" w:hAnsi="Arial" w:cs="Arial"/>
                <w:b/>
                <w:bCs/>
                <w:color w:val="000000"/>
                <w:sz w:val="17"/>
                <w:szCs w:val="17"/>
              </w:rPr>
            </w:pPr>
            <w:r>
              <w:rPr>
                <w:rFonts w:ascii="Arial" w:hAnsi="Arial" w:cs="Arial"/>
                <w:b/>
                <w:bCs/>
                <w:color w:val="000000"/>
                <w:sz w:val="17"/>
                <w:szCs w:val="17"/>
              </w:rPr>
              <w:t>34,106.47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458C5">
            <w:pPr>
              <w:jc w:val="right"/>
              <w:rPr>
                <w:rFonts w:ascii="Arial" w:hAnsi="Arial" w:cs="Arial"/>
                <w:b/>
                <w:bCs/>
                <w:color w:val="000000"/>
                <w:sz w:val="17"/>
                <w:szCs w:val="17"/>
              </w:rPr>
            </w:pPr>
            <w:r>
              <w:rPr>
                <w:rFonts w:ascii="Arial" w:hAnsi="Arial" w:cs="Arial"/>
                <w:b/>
                <w:bCs/>
                <w:color w:val="000000"/>
                <w:sz w:val="17"/>
                <w:szCs w:val="17"/>
              </w:rPr>
              <w:t>26,049.58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458C5">
            <w:pPr>
              <w:jc w:val="right"/>
              <w:rPr>
                <w:rFonts w:ascii="Arial" w:hAnsi="Arial" w:cs="Arial"/>
                <w:b/>
                <w:bCs/>
                <w:color w:val="000000"/>
                <w:sz w:val="17"/>
                <w:szCs w:val="17"/>
              </w:rPr>
            </w:pPr>
            <w:r>
              <w:rPr>
                <w:rFonts w:ascii="Arial" w:hAnsi="Arial" w:cs="Arial"/>
                <w:b/>
                <w:bCs/>
                <w:color w:val="000000"/>
                <w:sz w:val="17"/>
                <w:szCs w:val="17"/>
              </w:rPr>
              <w:t>15,298,470.82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458C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9458C5">
              <w:rPr>
                <w:rFonts w:ascii="Arial" w:hAnsi="Arial" w:cs="Arial"/>
                <w:b/>
                <w:bCs/>
                <w:noProof/>
                <w:color w:val="000000"/>
                <w:sz w:val="17"/>
                <w:szCs w:val="17"/>
                <w14:numForm w14:val="lining"/>
              </w:rPr>
              <w:t>15,486,338.20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458C5">
            <w:pPr>
              <w:jc w:val="right"/>
              <w:rPr>
                <w:rFonts w:ascii="Arial" w:hAnsi="Arial" w:cs="Arial"/>
                <w:b/>
                <w:bCs/>
                <w:color w:val="000000"/>
                <w:sz w:val="17"/>
                <w:szCs w:val="17"/>
              </w:rPr>
            </w:pPr>
            <w:r>
              <w:rPr>
                <w:rFonts w:ascii="Arial" w:hAnsi="Arial" w:cs="Arial"/>
                <w:b/>
                <w:bCs/>
                <w:color w:val="000000"/>
                <w:sz w:val="17"/>
                <w:szCs w:val="17"/>
              </w:rPr>
              <w:t>1,454,648.64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458C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9458C5">
              <w:rPr>
                <w:rFonts w:ascii="Arial" w:hAnsi="Arial" w:cs="Arial"/>
                <w:b/>
                <w:bCs/>
                <w:noProof/>
                <w:color w:val="000000"/>
                <w:sz w:val="17"/>
                <w:szCs w:val="17"/>
                <w14:numForm w14:val="lining"/>
              </w:rPr>
              <w:t>1,454,648.64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458C5">
            <w:pPr>
              <w:jc w:val="right"/>
              <w:rPr>
                <w:rFonts w:ascii="Arial" w:hAnsi="Arial" w:cs="Arial"/>
                <w:b/>
                <w:bCs/>
                <w:color w:val="000000"/>
                <w:sz w:val="17"/>
                <w:szCs w:val="17"/>
              </w:rPr>
            </w:pPr>
            <w:r>
              <w:rPr>
                <w:rFonts w:ascii="Arial" w:hAnsi="Arial" w:cs="Arial"/>
                <w:b/>
                <w:bCs/>
                <w:color w:val="000000"/>
                <w:sz w:val="17"/>
                <w:szCs w:val="17"/>
              </w:rPr>
              <w:t>31,997,073.96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9458C5">
            <w:pPr>
              <w:jc w:val="center"/>
              <w:rPr>
                <w:rFonts w:ascii="Arial" w:hAnsi="Arial" w:cs="Arial"/>
                <w:b/>
                <w:bCs/>
                <w:color w:val="000000"/>
                <w:sz w:val="17"/>
                <w:szCs w:val="17"/>
              </w:rPr>
            </w:pPr>
            <w:r>
              <w:rPr>
                <w:rFonts w:ascii="Arial" w:hAnsi="Arial" w:cs="Arial"/>
                <w:b/>
                <w:bCs/>
                <w:color w:val="000000"/>
                <w:sz w:val="17"/>
                <w:szCs w:val="17"/>
              </w:rPr>
              <w:t>Amplia Factibilidad</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458C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9458C5">
              <w:rPr>
                <w:rFonts w:ascii="Arial" w:hAnsi="Arial" w:cs="Arial"/>
                <w:b/>
                <w:bCs/>
                <w:noProof/>
                <w:color w:val="000000"/>
                <w:sz w:val="17"/>
                <w:szCs w:val="17"/>
                <w14:numForm w14:val="lining"/>
              </w:rPr>
              <w:t>31,997,073.96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458C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9458C5">
              <w:rPr>
                <w:rFonts w:ascii="Arial" w:hAnsi="Arial" w:cs="Arial"/>
                <w:b/>
                <w:bCs/>
                <w:noProof/>
                <w:color w:val="000000"/>
                <w:sz w:val="17"/>
                <w:szCs w:val="17"/>
                <w14:numForm w14:val="lining"/>
              </w:rPr>
              <w:t>48,938,06</w:t>
            </w:r>
            <w:r w:rsidRPr="002D70DA">
              <w:rPr>
                <w:rFonts w:ascii="Arial" w:hAnsi="Arial" w:cs="Arial"/>
                <w:b/>
                <w:bCs/>
                <w:color w:val="000000"/>
                <w:sz w:val="17"/>
                <w:szCs w:val="17"/>
                <w14:numForm w14:val="lining"/>
              </w:rPr>
              <w:fldChar w:fldCharType="end"/>
            </w:r>
            <w:r w:rsidR="009458C5">
              <w:rPr>
                <w:rFonts w:ascii="Arial" w:hAnsi="Arial" w:cs="Arial"/>
                <w:b/>
                <w:bCs/>
                <w:color w:val="000000"/>
                <w:sz w:val="17"/>
                <w:szCs w:val="17"/>
                <w14:numForm w14:val="lining"/>
              </w:rPr>
              <w:t>0.80</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471062" w:rsidRDefault="00B35C2A">
            <w:pPr>
              <w:jc w:val="center"/>
              <w:rPr>
                <w:rFonts w:ascii="Arial" w:hAnsi="Arial" w:cs="Arial"/>
                <w:b/>
                <w:color w:val="000000"/>
                <w:sz w:val="17"/>
                <w:szCs w:val="17"/>
              </w:rPr>
            </w:pPr>
            <w:r w:rsidRPr="002D70DA">
              <w:rPr>
                <w:rFonts w:ascii="Arial" w:hAnsi="Arial" w:cs="Arial"/>
                <w:color w:val="000000"/>
                <w:sz w:val="17"/>
                <w:szCs w:val="17"/>
              </w:rPr>
              <w:t> </w:t>
            </w:r>
            <w:r w:rsidR="00471062">
              <w:rPr>
                <w:rFonts w:ascii="Arial" w:hAnsi="Arial" w:cs="Arial"/>
                <w:b/>
                <w:color w:val="000000"/>
                <w:sz w:val="17"/>
                <w:szCs w:val="17"/>
              </w:rPr>
              <w:t>“NO APLICA”</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471062">
            <w:pPr>
              <w:jc w:val="right"/>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471062" w:rsidP="006529CA">
            <w:pPr>
              <w:jc w:val="right"/>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471062" w:rsidP="00471062">
            <w:pPr>
              <w:jc w:val="right"/>
              <w:rPr>
                <w:rFonts w:ascii="Arial" w:hAnsi="Arial" w:cs="Arial"/>
                <w:b/>
                <w:bCs/>
                <w:color w:val="000000"/>
                <w:sz w:val="17"/>
                <w:szCs w:val="17"/>
              </w:rPr>
            </w:pPr>
            <w:r>
              <w:rPr>
                <w:rFonts w:ascii="Arial" w:hAnsi="Arial" w:cs="Arial"/>
                <w:b/>
                <w:bCs/>
                <w:color w:val="000000"/>
                <w:sz w:val="17"/>
                <w:szCs w:val="17"/>
              </w:rPr>
              <w:t>5,382,662.38</w:t>
            </w:r>
            <w:r w:rsidR="00692AFE"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471062">
            <w:pPr>
              <w:jc w:val="center"/>
              <w:rPr>
                <w:rFonts w:ascii="Arial" w:hAnsi="Arial" w:cs="Arial"/>
                <w:b/>
                <w:bCs/>
                <w:color w:val="000000"/>
                <w:sz w:val="17"/>
                <w:szCs w:val="17"/>
              </w:rPr>
            </w:pPr>
            <w:r>
              <w:rPr>
                <w:rFonts w:ascii="Arial" w:hAnsi="Arial" w:cs="Arial"/>
                <w:b/>
                <w:bCs/>
                <w:color w:val="000000"/>
                <w:sz w:val="17"/>
                <w:szCs w:val="17"/>
              </w:rPr>
              <w:t>PROPIOS / ESTATALES</w:t>
            </w:r>
            <w:r w:rsidR="00692AFE"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471062">
            <w:pPr>
              <w:jc w:val="center"/>
              <w:rPr>
                <w:rFonts w:ascii="Arial" w:hAnsi="Arial" w:cs="Arial"/>
                <w:b/>
                <w:bCs/>
                <w:color w:val="000000"/>
                <w:sz w:val="17"/>
                <w:szCs w:val="17"/>
              </w:rPr>
            </w:pPr>
            <w:r>
              <w:rPr>
                <w:rFonts w:ascii="Arial" w:hAnsi="Arial" w:cs="Arial"/>
                <w:b/>
                <w:bCs/>
                <w:color w:val="000000"/>
                <w:sz w:val="17"/>
                <w:szCs w:val="17"/>
              </w:rPr>
              <w:t>$3</w:t>
            </w:r>
            <w:proofErr w:type="gramStart"/>
            <w:r>
              <w:rPr>
                <w:rFonts w:ascii="Arial" w:hAnsi="Arial" w:cs="Arial"/>
                <w:b/>
                <w:bCs/>
                <w:color w:val="000000"/>
                <w:sz w:val="17"/>
                <w:szCs w:val="17"/>
              </w:rPr>
              <w:t>,695,462.38</w:t>
            </w:r>
            <w:proofErr w:type="gramEnd"/>
            <w:r>
              <w:rPr>
                <w:rFonts w:ascii="Arial" w:hAnsi="Arial" w:cs="Arial"/>
                <w:b/>
                <w:bCs/>
                <w:color w:val="000000"/>
                <w:sz w:val="17"/>
                <w:szCs w:val="17"/>
              </w:rPr>
              <w:t xml:space="preserve"> de Pasivos Laborales, que  no se revelan con cálculo actuarial.</w:t>
            </w:r>
            <w:r w:rsidR="00692AFE"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47106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471062">
              <w:rPr>
                <w:rFonts w:ascii="Arial" w:hAnsi="Arial" w:cs="Arial"/>
                <w:b/>
                <w:bCs/>
                <w:noProof/>
                <w:color w:val="000000"/>
                <w:sz w:val="17"/>
                <w:szCs w:val="17"/>
                <w14:numForm w14:val="lining"/>
              </w:rPr>
              <w:t>5,382,662.38</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471062">
            <w:pPr>
              <w:jc w:val="right"/>
              <w:rPr>
                <w:rFonts w:ascii="Arial" w:hAnsi="Arial" w:cs="Arial"/>
                <w:b/>
                <w:bCs/>
                <w:color w:val="000000"/>
                <w:sz w:val="17"/>
                <w:szCs w:val="17"/>
              </w:rPr>
            </w:pPr>
            <w:r>
              <w:rPr>
                <w:rFonts w:ascii="Arial" w:hAnsi="Arial" w:cs="Arial"/>
                <w:b/>
                <w:bCs/>
                <w:color w:val="000000"/>
                <w:sz w:val="17"/>
                <w:szCs w:val="17"/>
              </w:rPr>
              <w:t>2,881,813.49</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7768C6">
            <w:pPr>
              <w:jc w:val="center"/>
              <w:rPr>
                <w:rFonts w:ascii="Arial" w:hAnsi="Arial" w:cs="Arial"/>
                <w:b/>
                <w:bCs/>
                <w:color w:val="000000"/>
                <w:sz w:val="17"/>
                <w:szCs w:val="17"/>
              </w:rPr>
            </w:pPr>
            <w:r>
              <w:rPr>
                <w:rFonts w:ascii="Arial" w:hAnsi="Arial" w:cs="Arial"/>
                <w:b/>
                <w:bCs/>
                <w:color w:val="000000"/>
                <w:sz w:val="17"/>
                <w:szCs w:val="17"/>
              </w:rPr>
              <w:t>Ingresos propios por prestación de servicios y venta de bienes.</w:t>
            </w: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7768C6">
            <w:pPr>
              <w:jc w:val="right"/>
              <w:rPr>
                <w:rFonts w:ascii="Arial" w:hAnsi="Arial" w:cs="Arial"/>
                <w:b/>
                <w:bCs/>
                <w:color w:val="000000"/>
                <w:sz w:val="17"/>
                <w:szCs w:val="17"/>
              </w:rPr>
            </w:pPr>
            <w:r>
              <w:rPr>
                <w:rFonts w:ascii="Arial" w:hAnsi="Arial" w:cs="Arial"/>
                <w:b/>
                <w:bCs/>
                <w:color w:val="000000"/>
                <w:sz w:val="17"/>
                <w:szCs w:val="17"/>
              </w:rPr>
              <w:t>68,061,638.28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7768C6">
            <w:pPr>
              <w:jc w:val="center"/>
              <w:rPr>
                <w:rFonts w:ascii="Arial" w:hAnsi="Arial" w:cs="Arial"/>
                <w:b/>
                <w:bCs/>
                <w:color w:val="000000"/>
                <w:sz w:val="17"/>
                <w:szCs w:val="17"/>
              </w:rPr>
            </w:pPr>
            <w:r>
              <w:rPr>
                <w:rFonts w:ascii="Arial" w:hAnsi="Arial" w:cs="Arial"/>
                <w:b/>
                <w:bCs/>
                <w:color w:val="000000"/>
                <w:sz w:val="17"/>
                <w:szCs w:val="17"/>
              </w:rPr>
              <w:t>Gestión de Ingresos para Programas de Vivienda.</w:t>
            </w: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7768C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768C6">
              <w:rPr>
                <w:rFonts w:ascii="Arial" w:hAnsi="Arial" w:cs="Arial"/>
                <w:b/>
                <w:bCs/>
                <w:noProof/>
                <w:color w:val="000000"/>
                <w:sz w:val="17"/>
                <w:szCs w:val="17"/>
                <w14:numForm w14:val="lining"/>
              </w:rPr>
              <w:t>70,913,451.77</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7768C6">
            <w:pPr>
              <w:jc w:val="center"/>
              <w:rPr>
                <w:rFonts w:ascii="Arial" w:hAnsi="Arial" w:cs="Arial"/>
                <w:b/>
                <w:bCs/>
                <w:color w:val="000000"/>
                <w:sz w:val="17"/>
                <w:szCs w:val="17"/>
              </w:rPr>
            </w:pPr>
            <w:r>
              <w:rPr>
                <w:rFonts w:ascii="Arial" w:hAnsi="Arial" w:cs="Arial"/>
                <w:b/>
                <w:bCs/>
                <w:color w:val="000000"/>
                <w:sz w:val="17"/>
                <w:szCs w:val="17"/>
              </w:rPr>
              <w:t xml:space="preserve">Ingresos Financieros y Diferencia en depósitos </w:t>
            </w:r>
            <w:r>
              <w:rPr>
                <w:rFonts w:ascii="Arial" w:hAnsi="Arial" w:cs="Arial"/>
                <w:b/>
                <w:bCs/>
                <w:color w:val="000000"/>
                <w:sz w:val="17"/>
                <w:szCs w:val="17"/>
              </w:rPr>
              <w:lastRenderedPageBreak/>
              <w:t>bancarios por venta de bienes y servicios.</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7768C6">
            <w:pPr>
              <w:jc w:val="right"/>
              <w:rPr>
                <w:rFonts w:ascii="Arial" w:hAnsi="Arial" w:cs="Arial"/>
                <w:b/>
                <w:bCs/>
                <w:color w:val="000000"/>
                <w:sz w:val="17"/>
                <w:szCs w:val="17"/>
              </w:rPr>
            </w:pPr>
            <w:r>
              <w:rPr>
                <w:rFonts w:ascii="Arial" w:hAnsi="Arial" w:cs="Arial"/>
                <w:b/>
                <w:bCs/>
                <w:color w:val="000000"/>
                <w:sz w:val="17"/>
                <w:szCs w:val="17"/>
              </w:rPr>
              <w:lastRenderedPageBreak/>
              <w:t>1,021,961.88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7768C6">
            <w:pPr>
              <w:jc w:val="center"/>
              <w:rPr>
                <w:rFonts w:ascii="Arial" w:hAnsi="Arial" w:cs="Arial"/>
                <w:b/>
                <w:bCs/>
                <w:color w:val="000000"/>
                <w:sz w:val="17"/>
                <w:szCs w:val="17"/>
              </w:rPr>
            </w:pPr>
            <w:r>
              <w:rPr>
                <w:rFonts w:ascii="Arial" w:hAnsi="Arial" w:cs="Arial"/>
                <w:b/>
                <w:bCs/>
                <w:color w:val="000000"/>
                <w:sz w:val="17"/>
                <w:szCs w:val="17"/>
              </w:rPr>
              <w:t>Propios</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7768C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768C6">
              <w:rPr>
                <w:rFonts w:ascii="Arial" w:hAnsi="Arial" w:cs="Arial"/>
                <w:b/>
                <w:bCs/>
                <w:noProof/>
                <w:color w:val="000000"/>
                <w:sz w:val="17"/>
                <w:szCs w:val="17"/>
                <w14:numForm w14:val="lining"/>
              </w:rPr>
              <w:t>1,021,961.88</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7768C6">
            <w:pPr>
              <w:jc w:val="right"/>
              <w:rPr>
                <w:rFonts w:ascii="Arial" w:hAnsi="Arial" w:cs="Arial"/>
                <w:b/>
                <w:bCs/>
                <w:color w:val="000000"/>
                <w:sz w:val="17"/>
                <w:szCs w:val="17"/>
              </w:rPr>
            </w:pPr>
            <w:r>
              <w:rPr>
                <w:rFonts w:ascii="Arial" w:hAnsi="Arial" w:cs="Arial"/>
                <w:b/>
                <w:bCs/>
                <w:color w:val="000000"/>
                <w:sz w:val="17"/>
                <w:szCs w:val="17"/>
              </w:rPr>
              <w:t>$74,613,590.98</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768C6">
            <w:pPr>
              <w:rPr>
                <w:rFonts w:ascii="Arial" w:hAnsi="Arial" w:cs="Arial"/>
                <w:color w:val="000000"/>
                <w:sz w:val="17"/>
                <w:szCs w:val="17"/>
              </w:rPr>
            </w:pPr>
            <w:r>
              <w:rPr>
                <w:rFonts w:ascii="Arial" w:hAnsi="Arial" w:cs="Arial"/>
                <w:color w:val="000000"/>
                <w:sz w:val="17"/>
                <w:szCs w:val="17"/>
              </w:rPr>
              <w:t>52000.- Transferencias, Asignaciones, Subsidios y Subvenciones.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7768C6">
            <w:pPr>
              <w:jc w:val="right"/>
              <w:rPr>
                <w:rFonts w:ascii="Arial" w:hAnsi="Arial" w:cs="Arial"/>
                <w:b/>
                <w:bCs/>
                <w:color w:val="000000"/>
                <w:sz w:val="17"/>
                <w:szCs w:val="17"/>
              </w:rPr>
            </w:pPr>
            <w:r>
              <w:rPr>
                <w:rFonts w:ascii="Arial" w:hAnsi="Arial" w:cs="Arial"/>
                <w:b/>
                <w:bCs/>
                <w:color w:val="000000"/>
                <w:sz w:val="17"/>
                <w:szCs w:val="17"/>
              </w:rPr>
              <w:t>52,472,586.43</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7768C6">
            <w:pPr>
              <w:jc w:val="right"/>
              <w:rPr>
                <w:rFonts w:ascii="Arial" w:hAnsi="Arial" w:cs="Arial"/>
                <w:b/>
                <w:bCs/>
                <w:color w:val="000000"/>
                <w:sz w:val="17"/>
                <w:szCs w:val="17"/>
              </w:rPr>
            </w:pPr>
            <w:r>
              <w:rPr>
                <w:rFonts w:ascii="Arial" w:hAnsi="Arial" w:cs="Arial"/>
                <w:b/>
                <w:bCs/>
                <w:color w:val="000000"/>
                <w:sz w:val="17"/>
                <w:szCs w:val="17"/>
              </w:rPr>
              <w:t>70%</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7768C6">
            <w:pPr>
              <w:rPr>
                <w:rFonts w:ascii="Arial" w:hAnsi="Arial" w:cs="Arial"/>
                <w:color w:val="000000"/>
                <w:sz w:val="17"/>
                <w:szCs w:val="17"/>
              </w:rPr>
            </w:pPr>
            <w:r>
              <w:rPr>
                <w:rFonts w:ascii="Arial" w:hAnsi="Arial" w:cs="Arial"/>
                <w:color w:val="000000"/>
                <w:sz w:val="17"/>
                <w:szCs w:val="17"/>
              </w:rPr>
              <w:t>51000.- Gasto de Funcionamiento</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83604">
            <w:pPr>
              <w:jc w:val="right"/>
              <w:rPr>
                <w:rFonts w:ascii="Arial" w:hAnsi="Arial" w:cs="Arial"/>
                <w:b/>
                <w:bCs/>
                <w:color w:val="000000"/>
                <w:sz w:val="17"/>
                <w:szCs w:val="17"/>
              </w:rPr>
            </w:pPr>
            <w:r>
              <w:rPr>
                <w:rFonts w:ascii="Arial" w:hAnsi="Arial" w:cs="Arial"/>
                <w:b/>
                <w:bCs/>
                <w:color w:val="000000"/>
                <w:sz w:val="17"/>
                <w:szCs w:val="17"/>
              </w:rPr>
              <w:t>21,720,418.05</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83604">
            <w:pPr>
              <w:jc w:val="right"/>
              <w:rPr>
                <w:rFonts w:ascii="Arial" w:hAnsi="Arial" w:cs="Arial"/>
                <w:b/>
                <w:bCs/>
                <w:color w:val="000000"/>
                <w:sz w:val="17"/>
                <w:szCs w:val="17"/>
              </w:rPr>
            </w:pPr>
            <w:r>
              <w:rPr>
                <w:rFonts w:ascii="Arial" w:hAnsi="Arial" w:cs="Arial"/>
                <w:b/>
                <w:bCs/>
                <w:color w:val="000000"/>
                <w:sz w:val="17"/>
                <w:szCs w:val="17"/>
              </w:rPr>
              <w:t>29%</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F83604">
            <w:pPr>
              <w:rPr>
                <w:rFonts w:ascii="Arial" w:hAnsi="Arial" w:cs="Arial"/>
                <w:color w:val="000000"/>
                <w:sz w:val="17"/>
                <w:szCs w:val="17"/>
              </w:rPr>
            </w:pPr>
            <w:r>
              <w:rPr>
                <w:rFonts w:ascii="Arial" w:hAnsi="Arial" w:cs="Arial"/>
                <w:color w:val="000000"/>
                <w:sz w:val="17"/>
                <w:szCs w:val="17"/>
              </w:rPr>
              <w:t>55000.- Otros Gastos y Pérdidas Extraordinarias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83604">
            <w:pPr>
              <w:jc w:val="right"/>
              <w:rPr>
                <w:rFonts w:ascii="Arial" w:hAnsi="Arial" w:cs="Arial"/>
                <w:b/>
                <w:bCs/>
                <w:color w:val="000000"/>
                <w:sz w:val="17"/>
                <w:szCs w:val="17"/>
              </w:rPr>
            </w:pPr>
            <w:r>
              <w:rPr>
                <w:rFonts w:ascii="Arial" w:hAnsi="Arial" w:cs="Arial"/>
                <w:b/>
                <w:bCs/>
                <w:color w:val="000000"/>
                <w:sz w:val="17"/>
                <w:szCs w:val="17"/>
              </w:rPr>
              <w:t>420,586.50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83604">
            <w:pPr>
              <w:jc w:val="right"/>
              <w:rPr>
                <w:rFonts w:ascii="Arial" w:hAnsi="Arial" w:cs="Arial"/>
                <w:b/>
                <w:bCs/>
                <w:color w:val="000000"/>
                <w:sz w:val="17"/>
                <w:szCs w:val="17"/>
              </w:rPr>
            </w:pPr>
            <w:r>
              <w:rPr>
                <w:rFonts w:ascii="Arial" w:hAnsi="Arial" w:cs="Arial"/>
                <w:b/>
                <w:bCs/>
                <w:color w:val="000000"/>
                <w:sz w:val="17"/>
                <w:szCs w:val="17"/>
              </w:rPr>
              <w:t>1%</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182F45">
            <w:pP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0639A8"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0639A8"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0639A8"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0639A8"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182F4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182F45" w:rsidRDefault="00C462F7" w:rsidP="00182F45">
            <w:pPr>
              <w:jc w:val="right"/>
              <w:rPr>
                <w:rFonts w:ascii="Arial" w:hAnsi="Arial" w:cs="Arial"/>
                <w:b/>
                <w:bCs/>
                <w:noProof/>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82F45">
              <w:rPr>
                <w:rFonts w:ascii="Arial" w:hAnsi="Arial" w:cs="Arial"/>
                <w:b/>
                <w:bCs/>
                <w:noProof/>
                <w:color w:val="000000"/>
                <w:sz w:val="17"/>
                <w:szCs w:val="17"/>
                <w14:numForm w14:val="lining"/>
              </w:rPr>
              <w:t>(2,678,177.33)</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182F45" w:rsidP="00C462F7">
            <w:pPr>
              <w:jc w:val="center"/>
              <w:rPr>
                <w:rFonts w:ascii="Arial" w:hAnsi="Arial" w:cs="Arial"/>
                <w:b/>
                <w:bCs/>
                <w:color w:val="000000"/>
                <w:sz w:val="17"/>
                <w:szCs w:val="17"/>
              </w:rPr>
            </w:pPr>
            <w:r>
              <w:rPr>
                <w:rFonts w:ascii="Arial" w:hAnsi="Arial" w:cs="Arial"/>
                <w:b/>
                <w:bCs/>
                <w:color w:val="000000"/>
                <w:sz w:val="17"/>
                <w:szCs w:val="17"/>
              </w:rPr>
              <w:t>Propios</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182F4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82F45">
              <w:rPr>
                <w:rFonts w:ascii="Arial" w:hAnsi="Arial" w:cs="Arial"/>
                <w:b/>
                <w:bCs/>
                <w:noProof/>
                <w:color w:val="000000"/>
                <w:sz w:val="17"/>
                <w:szCs w:val="17"/>
                <w14:numForm w14:val="lining"/>
              </w:rPr>
              <w:t>64,363.61</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182F45" w:rsidP="00C462F7">
            <w:pPr>
              <w:jc w:val="center"/>
              <w:rPr>
                <w:rFonts w:ascii="Arial" w:hAnsi="Arial" w:cs="Arial"/>
                <w:b/>
                <w:bCs/>
                <w:color w:val="000000"/>
                <w:sz w:val="17"/>
                <w:szCs w:val="17"/>
              </w:rPr>
            </w:pPr>
            <w:r>
              <w:rPr>
                <w:rFonts w:ascii="Arial" w:hAnsi="Arial" w:cs="Arial"/>
                <w:b/>
                <w:bCs/>
                <w:color w:val="000000"/>
                <w:sz w:val="17"/>
                <w:szCs w:val="17"/>
              </w:rPr>
              <w:t>Propios y Estatales</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182F4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82F45">
              <w:rPr>
                <w:rFonts w:ascii="Arial" w:hAnsi="Arial" w:cs="Arial"/>
                <w:b/>
                <w:bCs/>
                <w:noProof/>
                <w:color w:val="000000"/>
                <w:sz w:val="17"/>
                <w:szCs w:val="17"/>
                <w14:numForm w14:val="lining"/>
              </w:rPr>
              <w:t>11,391,610.67</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182F45">
            <w:pPr>
              <w:jc w:val="right"/>
              <w:rPr>
                <w:rFonts w:ascii="Arial" w:hAnsi="Arial" w:cs="Arial"/>
                <w:b/>
                <w:bCs/>
                <w:color w:val="000000"/>
                <w:sz w:val="17"/>
                <w:szCs w:val="17"/>
              </w:rPr>
            </w:pPr>
            <w:r>
              <w:rPr>
                <w:rFonts w:ascii="Arial" w:hAnsi="Arial" w:cs="Arial"/>
                <w:b/>
                <w:bCs/>
                <w:color w:val="000000"/>
                <w:sz w:val="17"/>
                <w:szCs w:val="17"/>
              </w:rPr>
              <w:t>11,391,610.67</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182F45">
            <w:pPr>
              <w:jc w:val="center"/>
              <w:rPr>
                <w:rFonts w:ascii="Arial" w:hAnsi="Arial" w:cs="Arial"/>
                <w:b/>
                <w:bCs/>
                <w:color w:val="000000"/>
                <w:sz w:val="17"/>
                <w:szCs w:val="17"/>
              </w:rPr>
            </w:pPr>
            <w:r>
              <w:rPr>
                <w:rFonts w:ascii="Arial" w:hAnsi="Arial" w:cs="Arial"/>
                <w:b/>
                <w:bCs/>
                <w:color w:val="000000"/>
                <w:sz w:val="17"/>
                <w:szCs w:val="17"/>
              </w:rPr>
              <w:t>Propios</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182F4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82F45">
              <w:rPr>
                <w:rFonts w:ascii="Arial" w:hAnsi="Arial" w:cs="Arial"/>
                <w:b/>
                <w:bCs/>
                <w:noProof/>
                <w:color w:val="000000"/>
                <w:sz w:val="17"/>
                <w:szCs w:val="17"/>
                <w14:numForm w14:val="lining"/>
              </w:rPr>
              <w:t>(1,739,446.88)</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182F45" w:rsidP="00C462F7">
            <w:pPr>
              <w:jc w:val="center"/>
              <w:rPr>
                <w:rFonts w:ascii="Arial" w:hAnsi="Arial" w:cs="Arial"/>
                <w:b/>
                <w:bCs/>
                <w:color w:val="000000"/>
                <w:sz w:val="17"/>
                <w:szCs w:val="17"/>
              </w:rPr>
            </w:pPr>
            <w:r>
              <w:rPr>
                <w:rFonts w:ascii="Arial" w:hAnsi="Arial" w:cs="Arial"/>
                <w:b/>
                <w:bCs/>
                <w:color w:val="000000"/>
                <w:sz w:val="17"/>
                <w:szCs w:val="17"/>
              </w:rPr>
              <w:t>Propios</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182F45">
            <w:pPr>
              <w:jc w:val="right"/>
              <w:rPr>
                <w:rFonts w:ascii="Arial" w:hAnsi="Arial" w:cs="Arial"/>
                <w:b/>
                <w:bCs/>
                <w:color w:val="000000"/>
                <w:sz w:val="17"/>
                <w:szCs w:val="17"/>
              </w:rPr>
            </w:pPr>
            <w:r>
              <w:rPr>
                <w:rFonts w:ascii="Arial" w:hAnsi="Arial" w:cs="Arial"/>
                <w:b/>
                <w:bCs/>
                <w:color w:val="000000"/>
                <w:sz w:val="17"/>
                <w:szCs w:val="17"/>
              </w:rPr>
              <w:t>($1,739,446.88)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182F45">
            <w:pPr>
              <w:jc w:val="center"/>
              <w:rPr>
                <w:rFonts w:ascii="Arial" w:hAnsi="Arial" w:cs="Arial"/>
                <w:b/>
                <w:bCs/>
                <w:color w:val="000000"/>
                <w:sz w:val="17"/>
                <w:szCs w:val="17"/>
              </w:rPr>
            </w:pPr>
            <w:r>
              <w:rPr>
                <w:rFonts w:ascii="Arial" w:hAnsi="Arial" w:cs="Arial"/>
                <w:b/>
                <w:bCs/>
                <w:color w:val="000000"/>
                <w:sz w:val="17"/>
                <w:szCs w:val="17"/>
              </w:rPr>
              <w:t>Propios</w:t>
            </w:r>
            <w:r w:rsidR="00C462F7"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rsidP="00182F45">
            <w:pPr>
              <w:jc w:val="center"/>
              <w:rPr>
                <w:rFonts w:ascii="Arial" w:hAnsi="Arial" w:cs="Arial"/>
                <w:b/>
                <w:bCs/>
                <w:color w:val="000000"/>
                <w:sz w:val="17"/>
                <w:szCs w:val="17"/>
              </w:rPr>
            </w:pPr>
            <w:r>
              <w:rPr>
                <w:rFonts w:ascii="Arial" w:hAnsi="Arial" w:cs="Arial"/>
                <w:b/>
                <w:bCs/>
                <w:color w:val="000000"/>
                <w:sz w:val="17"/>
                <w:szCs w:val="17"/>
              </w:rPr>
              <w:t>201</w:t>
            </w:r>
            <w:r w:rsidR="00182F45">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82F45">
            <w:pPr>
              <w:jc w:val="right"/>
              <w:rPr>
                <w:rFonts w:ascii="Arial" w:hAnsi="Arial" w:cs="Arial"/>
                <w:b/>
                <w:bCs/>
                <w:color w:val="000000"/>
                <w:sz w:val="17"/>
                <w:szCs w:val="17"/>
              </w:rPr>
            </w:pPr>
            <w:r>
              <w:rPr>
                <w:rFonts w:ascii="Arial" w:hAnsi="Arial" w:cs="Arial"/>
                <w:b/>
                <w:bCs/>
                <w:color w:val="000000"/>
                <w:sz w:val="17"/>
                <w:szCs w:val="17"/>
              </w:rPr>
              <w:t>5,771,902.95</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82F45">
            <w:pPr>
              <w:jc w:val="right"/>
              <w:rPr>
                <w:rFonts w:ascii="Arial" w:hAnsi="Arial" w:cs="Arial"/>
                <w:b/>
                <w:bCs/>
                <w:color w:val="000000"/>
                <w:sz w:val="17"/>
                <w:szCs w:val="17"/>
              </w:rPr>
            </w:pPr>
            <w:r>
              <w:rPr>
                <w:rFonts w:ascii="Arial" w:hAnsi="Arial" w:cs="Arial"/>
                <w:b/>
                <w:bCs/>
                <w:color w:val="000000"/>
                <w:sz w:val="17"/>
                <w:szCs w:val="17"/>
              </w:rPr>
              <w:t>17,949,509.56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82F45">
            <w:pPr>
              <w:jc w:val="right"/>
              <w:rPr>
                <w:rFonts w:ascii="Arial" w:hAnsi="Arial" w:cs="Arial"/>
                <w:b/>
                <w:bCs/>
                <w:color w:val="000000"/>
                <w:sz w:val="17"/>
                <w:szCs w:val="17"/>
              </w:rPr>
            </w:pPr>
            <w:r>
              <w:rPr>
                <w:rFonts w:ascii="Arial" w:hAnsi="Arial" w:cs="Arial"/>
                <w:b/>
                <w:bCs/>
                <w:color w:val="000000"/>
                <w:sz w:val="17"/>
                <w:szCs w:val="17"/>
              </w:rPr>
              <w:t>9,145,213.32</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82F45">
            <w:pPr>
              <w:jc w:val="right"/>
              <w:rPr>
                <w:rFonts w:ascii="Arial" w:hAnsi="Arial" w:cs="Arial"/>
                <w:b/>
                <w:bCs/>
                <w:color w:val="000000"/>
                <w:sz w:val="17"/>
                <w:szCs w:val="17"/>
              </w:rPr>
            </w:pPr>
            <w:r>
              <w:rPr>
                <w:rFonts w:ascii="Arial" w:hAnsi="Arial" w:cs="Arial"/>
                <w:b/>
                <w:bCs/>
                <w:color w:val="000000"/>
                <w:sz w:val="17"/>
                <w:szCs w:val="17"/>
              </w:rPr>
              <w:t>6,955,055.37</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182F4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82F45">
              <w:rPr>
                <w:rFonts w:ascii="Arial" w:hAnsi="Arial" w:cs="Arial"/>
                <w:b/>
                <w:bCs/>
                <w:noProof/>
                <w:color w:val="000000"/>
                <w:sz w:val="17"/>
                <w:szCs w:val="17"/>
                <w14:numForm w14:val="lining"/>
              </w:rPr>
              <w:t>14,917,116.27</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182F4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182F45">
              <w:rPr>
                <w:rFonts w:ascii="Arial" w:hAnsi="Arial" w:cs="Arial"/>
                <w:b/>
                <w:bCs/>
                <w:noProof/>
                <w:color w:val="000000"/>
                <w:sz w:val="17"/>
                <w:szCs w:val="17"/>
                <w14:numForm w14:val="lining"/>
              </w:rPr>
              <w:t>24,901,564.93</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182F45">
            <w:pPr>
              <w:jc w:val="right"/>
              <w:rPr>
                <w:rFonts w:ascii="Arial" w:hAnsi="Arial" w:cs="Arial"/>
                <w:b/>
                <w:bCs/>
                <w:color w:val="000000"/>
                <w:sz w:val="17"/>
                <w:szCs w:val="17"/>
              </w:rPr>
            </w:pPr>
            <w:r>
              <w:rPr>
                <w:rFonts w:ascii="Arial" w:hAnsi="Arial" w:cs="Arial"/>
                <w:b/>
                <w:bCs/>
                <w:color w:val="000000"/>
                <w:sz w:val="17"/>
                <w:szCs w:val="17"/>
              </w:rPr>
              <w:t>145,733.84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182F45">
            <w:pPr>
              <w:jc w:val="center"/>
              <w:rPr>
                <w:rFonts w:ascii="Arial" w:hAnsi="Arial" w:cs="Arial"/>
                <w:b/>
                <w:bCs/>
                <w:color w:val="000000"/>
                <w:sz w:val="17"/>
                <w:szCs w:val="17"/>
              </w:rPr>
            </w:pPr>
            <w:r>
              <w:rPr>
                <w:rFonts w:ascii="Arial" w:hAnsi="Arial" w:cs="Arial"/>
                <w:b/>
                <w:bCs/>
                <w:color w:val="000000"/>
                <w:sz w:val="17"/>
                <w:szCs w:val="17"/>
              </w:rPr>
              <w:t>0%</w: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182F45">
            <w:pPr>
              <w:jc w:val="right"/>
              <w:rPr>
                <w:rFonts w:ascii="Arial" w:hAnsi="Arial" w:cs="Arial"/>
                <w:b/>
                <w:bCs/>
                <w:color w:val="000000"/>
                <w:sz w:val="17"/>
                <w:szCs w:val="17"/>
              </w:rPr>
            </w:pPr>
            <w:r>
              <w:rPr>
                <w:rFonts w:ascii="Arial" w:hAnsi="Arial" w:cs="Arial"/>
                <w:b/>
                <w:bCs/>
                <w:color w:val="000000"/>
                <w:sz w:val="17"/>
                <w:szCs w:val="17"/>
              </w:rPr>
              <w:t>145,734.00</w:t>
            </w:r>
            <w:r w:rsidR="00DF74BA"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182F45">
            <w:pPr>
              <w:jc w:val="right"/>
              <w:rPr>
                <w:rFonts w:ascii="Arial" w:hAnsi="Arial" w:cs="Arial"/>
                <w:b/>
                <w:bCs/>
                <w:color w:val="000000"/>
                <w:sz w:val="17"/>
                <w:szCs w:val="17"/>
              </w:rPr>
            </w:pPr>
            <w:r>
              <w:rPr>
                <w:rFonts w:ascii="Arial" w:hAnsi="Arial" w:cs="Arial"/>
                <w:b/>
                <w:bCs/>
                <w:color w:val="000000"/>
                <w:sz w:val="17"/>
                <w:szCs w:val="17"/>
              </w:rPr>
              <w:t>332,920.96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182F45">
            <w:pPr>
              <w:jc w:val="center"/>
              <w:rPr>
                <w:rFonts w:ascii="Arial" w:hAnsi="Arial" w:cs="Arial"/>
                <w:b/>
                <w:bCs/>
                <w:color w:val="000000"/>
                <w:sz w:val="17"/>
                <w:szCs w:val="17"/>
              </w:rPr>
            </w:pPr>
            <w:r>
              <w:rPr>
                <w:rFonts w:ascii="Arial" w:hAnsi="Arial" w:cs="Arial"/>
                <w:b/>
                <w:bCs/>
                <w:color w:val="000000"/>
                <w:sz w:val="17"/>
                <w:szCs w:val="17"/>
              </w:rPr>
              <w:t>0%</w: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182F45">
            <w:pPr>
              <w:jc w:val="right"/>
              <w:rPr>
                <w:rFonts w:ascii="Arial" w:hAnsi="Arial" w:cs="Arial"/>
                <w:b/>
                <w:bCs/>
                <w:color w:val="000000"/>
                <w:sz w:val="17"/>
                <w:szCs w:val="17"/>
              </w:rPr>
            </w:pPr>
            <w:r>
              <w:rPr>
                <w:rFonts w:ascii="Arial" w:hAnsi="Arial" w:cs="Arial"/>
                <w:b/>
                <w:bCs/>
                <w:color w:val="000000"/>
                <w:sz w:val="17"/>
                <w:szCs w:val="17"/>
              </w:rPr>
              <w:t>332,920.96</w:t>
            </w:r>
            <w:r w:rsidR="00DF74BA"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rsidP="00C5683F">
            <w:pPr>
              <w:jc w:val="center"/>
              <w:rPr>
                <w:rFonts w:ascii="Arial" w:hAnsi="Arial" w:cs="Arial"/>
                <w:b/>
                <w:bCs/>
                <w:color w:val="000000"/>
                <w:sz w:val="17"/>
                <w:szCs w:val="17"/>
              </w:rPr>
            </w:pPr>
            <w:r>
              <w:rPr>
                <w:rFonts w:ascii="Arial" w:hAnsi="Arial" w:cs="Arial"/>
                <w:b/>
                <w:bCs/>
                <w:color w:val="000000"/>
                <w:sz w:val="17"/>
                <w:szCs w:val="17"/>
              </w:rPr>
              <w:t>201</w:t>
            </w:r>
            <w:r w:rsidR="00C5683F">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7A52">
            <w:pPr>
              <w:jc w:val="right"/>
              <w:rPr>
                <w:rFonts w:ascii="Arial" w:hAnsi="Arial" w:cs="Arial"/>
                <w:b/>
                <w:bCs/>
                <w:color w:val="000000"/>
                <w:sz w:val="17"/>
                <w:szCs w:val="17"/>
              </w:rPr>
            </w:pPr>
            <w:r>
              <w:rPr>
                <w:rFonts w:ascii="Arial" w:hAnsi="Arial" w:cs="Arial"/>
                <w:b/>
                <w:bCs/>
                <w:color w:val="000000"/>
                <w:sz w:val="17"/>
                <w:szCs w:val="17"/>
              </w:rPr>
              <w:t>$ (2,678,177.33)</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C5683F" w:rsidP="00897A52">
            <w:pPr>
              <w:jc w:val="right"/>
              <w:rPr>
                <w:rFonts w:ascii="Arial" w:hAnsi="Arial" w:cs="Arial"/>
                <w:b/>
                <w:bCs/>
                <w:color w:val="000000"/>
                <w:sz w:val="17"/>
                <w:szCs w:val="17"/>
              </w:rPr>
            </w:pPr>
            <w:r>
              <w:rPr>
                <w:rFonts w:ascii="Arial" w:hAnsi="Arial" w:cs="Arial"/>
                <w:b/>
                <w:bCs/>
                <w:color w:val="000000"/>
                <w:sz w:val="17"/>
                <w:szCs w:val="17"/>
              </w:rPr>
              <w:t>(</w:t>
            </w:r>
            <w:r w:rsidR="00897A52">
              <w:rPr>
                <w:rFonts w:ascii="Arial" w:hAnsi="Arial" w:cs="Arial"/>
                <w:b/>
                <w:bCs/>
                <w:color w:val="000000"/>
                <w:sz w:val="17"/>
                <w:szCs w:val="17"/>
              </w:rPr>
              <w:t>5,256,937.76</w:t>
            </w:r>
            <w:r>
              <w:rPr>
                <w:rFonts w:ascii="Arial" w:hAnsi="Arial" w:cs="Arial"/>
                <w:b/>
                <w:bCs/>
                <w:color w:val="000000"/>
                <w:sz w:val="17"/>
                <w:szCs w:val="17"/>
              </w:rPr>
              <w:t>)</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C568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C5683F">
              <w:rPr>
                <w:rFonts w:ascii="Arial" w:hAnsi="Arial" w:cs="Arial"/>
                <w:b/>
                <w:bCs/>
                <w:noProof/>
                <w:color w:val="000000"/>
                <w:sz w:val="17"/>
                <w:szCs w:val="17"/>
                <w14:numForm w14:val="lining"/>
              </w:rPr>
              <w:t>139,293.35</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C5683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C5683F">
              <w:rPr>
                <w:rFonts w:ascii="Arial" w:hAnsi="Arial" w:cs="Arial"/>
                <w:b/>
                <w:bCs/>
                <w:noProof/>
                <w:color w:val="000000"/>
                <w:sz w:val="17"/>
                <w:szCs w:val="17"/>
                <w14:numForm w14:val="lining"/>
              </w:rPr>
              <w:t>143,957.11</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7A52" w:rsidP="00897A52">
            <w:pPr>
              <w:jc w:val="right"/>
              <w:rPr>
                <w:rFonts w:ascii="Arial" w:hAnsi="Arial" w:cs="Arial"/>
                <w:b/>
                <w:bCs/>
                <w:color w:val="000000"/>
                <w:sz w:val="17"/>
                <w:szCs w:val="17"/>
              </w:rPr>
            </w:pPr>
            <w:r>
              <w:rPr>
                <w:rFonts w:asciiTheme="minorHAnsi" w:hAnsiTheme="minorHAnsi" w:cstheme="minorHAnsi"/>
                <w:b/>
                <w:bCs/>
                <w:color w:val="000000"/>
                <w:sz w:val="16"/>
                <w:szCs w:val="16"/>
              </w:rPr>
              <w:t>290,856.33</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7A52">
            <w:pPr>
              <w:jc w:val="right"/>
              <w:rPr>
                <w:rFonts w:ascii="Arial" w:hAnsi="Arial" w:cs="Arial"/>
                <w:b/>
                <w:bCs/>
                <w:color w:val="000000"/>
                <w:sz w:val="17"/>
                <w:szCs w:val="17"/>
              </w:rPr>
            </w:pPr>
            <w:r>
              <w:rPr>
                <w:rFonts w:ascii="Arial" w:hAnsi="Arial" w:cs="Arial"/>
                <w:b/>
                <w:bCs/>
                <w:color w:val="000000"/>
                <w:sz w:val="17"/>
                <w:szCs w:val="17"/>
              </w:rPr>
              <w:t>310,952.78</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7A52" w:rsidP="00897A52">
            <w:pPr>
              <w:jc w:val="right"/>
              <w:rPr>
                <w:rFonts w:ascii="Arial" w:hAnsi="Arial" w:cs="Arial"/>
                <w:b/>
                <w:bCs/>
                <w:color w:val="000000"/>
                <w:sz w:val="17"/>
                <w:szCs w:val="17"/>
              </w:rPr>
            </w:pPr>
            <w:r>
              <w:rPr>
                <w:rFonts w:ascii="Arial" w:hAnsi="Arial" w:cs="Arial"/>
                <w:b/>
                <w:bCs/>
                <w:color w:val="000000"/>
                <w:sz w:val="17"/>
                <w:szCs w:val="17"/>
              </w:rPr>
              <w:t>7,250.00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7A52">
            <w:pPr>
              <w:jc w:val="right"/>
              <w:rPr>
                <w:rFonts w:ascii="Arial" w:hAnsi="Arial" w:cs="Arial"/>
                <w:b/>
                <w:bCs/>
                <w:color w:val="000000"/>
                <w:sz w:val="17"/>
                <w:szCs w:val="17"/>
              </w:rPr>
            </w:pPr>
            <w:r>
              <w:rPr>
                <w:rFonts w:ascii="Arial" w:hAnsi="Arial" w:cs="Arial"/>
                <w:b/>
                <w:bCs/>
                <w:color w:val="000000"/>
                <w:sz w:val="17"/>
                <w:szCs w:val="17"/>
              </w:rPr>
              <w:t>8,700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C5683F">
            <w:pPr>
              <w:jc w:val="right"/>
              <w:rPr>
                <w:rFonts w:ascii="Arial" w:hAnsi="Arial" w:cs="Arial"/>
                <w:b/>
                <w:bCs/>
                <w:color w:val="000000"/>
                <w:sz w:val="17"/>
                <w:szCs w:val="17"/>
              </w:rPr>
            </w:pPr>
            <w:r>
              <w:rPr>
                <w:rFonts w:ascii="Arial" w:hAnsi="Arial" w:cs="Arial"/>
                <w:b/>
                <w:bCs/>
                <w:color w:val="000000"/>
                <w:sz w:val="17"/>
                <w:szCs w:val="17"/>
              </w:rPr>
              <w:t>55,122.20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97A52">
            <w:pPr>
              <w:jc w:val="right"/>
              <w:rPr>
                <w:rFonts w:ascii="Arial" w:hAnsi="Arial" w:cs="Arial"/>
                <w:b/>
                <w:bCs/>
                <w:color w:val="000000"/>
                <w:sz w:val="17"/>
                <w:szCs w:val="17"/>
              </w:rPr>
            </w:pPr>
            <w:r>
              <w:rPr>
                <w:rFonts w:ascii="Arial" w:hAnsi="Arial" w:cs="Arial"/>
                <w:b/>
                <w:bCs/>
                <w:color w:val="000000"/>
                <w:sz w:val="17"/>
                <w:szCs w:val="17"/>
              </w:rPr>
              <w:t>122,480.17</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897A5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C5683F">
              <w:rPr>
                <w:rFonts w:ascii="Arial" w:hAnsi="Arial" w:cs="Arial"/>
                <w:b/>
                <w:bCs/>
                <w:noProof/>
                <w:color w:val="000000"/>
                <w:sz w:val="17"/>
                <w:szCs w:val="17"/>
                <w14:numForm w14:val="lining"/>
              </w:rPr>
              <w:t>(</w:t>
            </w:r>
            <w:r w:rsidR="00897A52">
              <w:rPr>
                <w:rFonts w:ascii="Arial" w:hAnsi="Arial" w:cs="Arial"/>
                <w:b/>
                <w:bCs/>
                <w:noProof/>
                <w:color w:val="000000"/>
                <w:sz w:val="17"/>
                <w:szCs w:val="17"/>
                <w14:numForm w14:val="lining"/>
              </w:rPr>
              <w:t>2,257,590.83</w:t>
            </w:r>
            <w:r w:rsidR="00C5683F">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897A5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C5683F">
              <w:rPr>
                <w:rFonts w:ascii="Arial" w:hAnsi="Arial" w:cs="Arial"/>
                <w:b/>
                <w:bCs/>
                <w:noProof/>
                <w:color w:val="000000"/>
                <w:sz w:val="17"/>
                <w:szCs w:val="17"/>
                <w14:numForm w14:val="lining"/>
              </w:rPr>
              <w:t>(</w:t>
            </w:r>
            <w:r w:rsidR="00897A52">
              <w:rPr>
                <w:rFonts w:ascii="Arial" w:hAnsi="Arial" w:cs="Arial"/>
                <w:b/>
                <w:bCs/>
                <w:noProof/>
                <w:color w:val="000000"/>
                <w:sz w:val="17"/>
                <w:szCs w:val="17"/>
                <w14:numForm w14:val="lining"/>
              </w:rPr>
              <w:t>5</w:t>
            </w:r>
            <w:r w:rsidR="00C5683F">
              <w:rPr>
                <w:rFonts w:ascii="Arial" w:hAnsi="Arial" w:cs="Arial"/>
                <w:b/>
                <w:bCs/>
                <w:noProof/>
                <w:color w:val="000000"/>
                <w:sz w:val="17"/>
                <w:szCs w:val="17"/>
                <w14:numForm w14:val="lining"/>
              </w:rPr>
              <w:t>,</w:t>
            </w:r>
            <w:r w:rsidR="00897A52">
              <w:rPr>
                <w:rFonts w:ascii="Arial" w:hAnsi="Arial" w:cs="Arial"/>
                <w:b/>
                <w:bCs/>
                <w:noProof/>
                <w:color w:val="000000"/>
                <w:sz w:val="17"/>
                <w:szCs w:val="17"/>
                <w14:numForm w14:val="lining"/>
              </w:rPr>
              <w:t>256</w:t>
            </w:r>
            <w:r w:rsidR="00C5683F">
              <w:rPr>
                <w:rFonts w:ascii="Arial" w:hAnsi="Arial" w:cs="Arial"/>
                <w:b/>
                <w:bCs/>
                <w:noProof/>
                <w:color w:val="000000"/>
                <w:sz w:val="17"/>
                <w:szCs w:val="17"/>
                <w14:numForm w14:val="lining"/>
              </w:rPr>
              <w:t>,</w:t>
            </w:r>
            <w:r w:rsidR="00897A52">
              <w:rPr>
                <w:rFonts w:ascii="Arial" w:hAnsi="Arial" w:cs="Arial"/>
                <w:b/>
                <w:bCs/>
                <w:noProof/>
                <w:color w:val="000000"/>
                <w:sz w:val="17"/>
                <w:szCs w:val="17"/>
                <w14:numForm w14:val="lining"/>
              </w:rPr>
              <w:t>937</w:t>
            </w:r>
            <w:r w:rsidR="00C5683F">
              <w:rPr>
                <w:rFonts w:ascii="Arial" w:hAnsi="Arial" w:cs="Arial"/>
                <w:b/>
                <w:bCs/>
                <w:noProof/>
                <w:color w:val="000000"/>
                <w:sz w:val="17"/>
                <w:szCs w:val="17"/>
                <w14:numForm w14:val="lining"/>
              </w:rPr>
              <w:t>.7</w:t>
            </w:r>
            <w:r w:rsidR="00897A52">
              <w:rPr>
                <w:rFonts w:ascii="Arial" w:hAnsi="Arial" w:cs="Arial"/>
                <w:b/>
                <w:bCs/>
                <w:noProof/>
                <w:color w:val="000000"/>
                <w:sz w:val="17"/>
                <w:szCs w:val="17"/>
                <w14:numForm w14:val="lining"/>
              </w:rPr>
              <w:t>6</w:t>
            </w:r>
            <w:r w:rsidR="00C5683F">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46DE5">
            <w:pPr>
              <w:jc w:val="right"/>
              <w:rPr>
                <w:rFonts w:ascii="Arial" w:hAnsi="Arial" w:cs="Arial"/>
                <w:b/>
                <w:bCs/>
                <w:color w:val="000000"/>
                <w:sz w:val="17"/>
                <w:szCs w:val="17"/>
              </w:rPr>
            </w:pPr>
            <w:r>
              <w:rPr>
                <w:rFonts w:ascii="Arial" w:hAnsi="Arial" w:cs="Arial"/>
                <w:b/>
                <w:bCs/>
                <w:color w:val="000000"/>
                <w:sz w:val="17"/>
                <w:szCs w:val="17"/>
              </w:rPr>
              <w:t>$70,913,508.29</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46DE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46DE5">
              <w:rPr>
                <w:rFonts w:ascii="Arial" w:hAnsi="Arial" w:cs="Arial"/>
                <w:b/>
                <w:bCs/>
                <w:noProof/>
                <w:color w:val="000000"/>
                <w:sz w:val="17"/>
                <w:szCs w:val="17"/>
                <w14:numForm w14:val="lining"/>
              </w:rPr>
              <w:t>1,021,905.36</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929FF" w:rsidP="002746E2">
            <w:pPr>
              <w:jc w:val="right"/>
              <w:rPr>
                <w:rFonts w:ascii="Arial" w:hAnsi="Arial" w:cs="Arial"/>
                <w:b/>
                <w:bCs/>
                <w:color w:val="000000"/>
                <w:sz w:val="17"/>
                <w:szCs w:val="17"/>
              </w:rPr>
            </w:pPr>
            <w:r>
              <w:rPr>
                <w:rFonts w:ascii="Arial" w:hAnsi="Arial" w:cs="Arial"/>
                <w:b/>
                <w:bCs/>
                <w:color w:val="000000"/>
                <w:sz w:val="17"/>
                <w:szCs w:val="17"/>
              </w:rPr>
              <w:t>1,021,905.36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46DE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46DE5">
              <w:rPr>
                <w:rFonts w:ascii="Arial" w:hAnsi="Arial" w:cs="Arial"/>
                <w:b/>
                <w:bCs/>
                <w:noProof/>
                <w:color w:val="000000"/>
                <w:sz w:val="17"/>
                <w:szCs w:val="17"/>
                <w14:numForm w14:val="lining"/>
              </w:rPr>
              <w:t>71,935,413.65</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46DE5" w:rsidP="002746E2">
            <w:pPr>
              <w:jc w:val="right"/>
              <w:rPr>
                <w:rFonts w:ascii="Arial" w:hAnsi="Arial" w:cs="Arial"/>
                <w:b/>
                <w:bCs/>
                <w:color w:val="000000"/>
                <w:sz w:val="17"/>
                <w:szCs w:val="17"/>
              </w:rPr>
            </w:pPr>
            <w:r>
              <w:rPr>
                <w:rFonts w:ascii="Arial" w:hAnsi="Arial" w:cs="Arial"/>
                <w:b/>
                <w:bCs/>
                <w:color w:val="000000"/>
                <w:sz w:val="17"/>
                <w:szCs w:val="17"/>
              </w:rPr>
              <w:t>$77,910,166.77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46DE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46DE5">
              <w:rPr>
                <w:rFonts w:ascii="Arial" w:hAnsi="Arial" w:cs="Arial"/>
                <w:b/>
                <w:bCs/>
                <w:noProof/>
                <w:color w:val="000000"/>
                <w:sz w:val="17"/>
                <w:szCs w:val="17"/>
                <w14:numForm w14:val="lining"/>
              </w:rPr>
              <w:t>3,717,162.29</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929FF" w:rsidP="002746E2">
            <w:pPr>
              <w:jc w:val="right"/>
              <w:rPr>
                <w:rFonts w:ascii="Arial" w:hAnsi="Arial" w:cs="Arial"/>
                <w:b/>
                <w:bCs/>
                <w:color w:val="000000"/>
                <w:sz w:val="17"/>
                <w:szCs w:val="17"/>
              </w:rPr>
            </w:pPr>
            <w:r>
              <w:rPr>
                <w:rFonts w:ascii="Arial" w:hAnsi="Arial" w:cs="Arial"/>
                <w:b/>
                <w:bCs/>
                <w:color w:val="000000"/>
                <w:sz w:val="17"/>
                <w:szCs w:val="17"/>
              </w:rPr>
              <w:t>332,920.96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929FF" w:rsidP="002746E2">
            <w:pPr>
              <w:jc w:val="right"/>
              <w:rPr>
                <w:rFonts w:ascii="Arial" w:hAnsi="Arial" w:cs="Arial"/>
                <w:b/>
                <w:bCs/>
                <w:color w:val="000000"/>
                <w:sz w:val="17"/>
                <w:szCs w:val="17"/>
              </w:rPr>
            </w:pPr>
            <w:r>
              <w:rPr>
                <w:rFonts w:ascii="Arial" w:hAnsi="Arial" w:cs="Arial"/>
                <w:b/>
                <w:bCs/>
                <w:color w:val="000000"/>
                <w:sz w:val="17"/>
                <w:szCs w:val="17"/>
              </w:rPr>
              <w:t>116,000.00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929FF" w:rsidP="002746E2">
            <w:pPr>
              <w:jc w:val="right"/>
              <w:rPr>
                <w:rFonts w:ascii="Arial" w:hAnsi="Arial" w:cs="Arial"/>
                <w:b/>
                <w:bCs/>
                <w:color w:val="000000"/>
                <w:sz w:val="17"/>
                <w:szCs w:val="17"/>
              </w:rPr>
            </w:pPr>
            <w:r>
              <w:rPr>
                <w:rFonts w:ascii="Arial" w:hAnsi="Arial" w:cs="Arial"/>
                <w:b/>
                <w:bCs/>
                <w:color w:val="000000"/>
                <w:sz w:val="17"/>
                <w:szCs w:val="17"/>
              </w:rPr>
              <w:t>3,171,195.53</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929FF" w:rsidP="002746E2">
            <w:pPr>
              <w:jc w:val="right"/>
              <w:rPr>
                <w:rFonts w:ascii="Arial" w:hAnsi="Arial" w:cs="Arial"/>
                <w:b/>
                <w:bCs/>
                <w:color w:val="000000"/>
                <w:sz w:val="17"/>
                <w:szCs w:val="17"/>
              </w:rPr>
            </w:pPr>
            <w:r>
              <w:rPr>
                <w:rFonts w:ascii="Arial" w:hAnsi="Arial" w:cs="Arial"/>
                <w:b/>
                <w:bCs/>
                <w:color w:val="000000"/>
                <w:sz w:val="17"/>
                <w:szCs w:val="17"/>
              </w:rPr>
              <w:t>97,045.80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46DE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46DE5">
              <w:rPr>
                <w:rFonts w:ascii="Arial" w:hAnsi="Arial" w:cs="Arial"/>
                <w:b/>
                <w:bCs/>
                <w:noProof/>
                <w:color w:val="000000"/>
                <w:sz w:val="17"/>
                <w:szCs w:val="17"/>
                <w14:numForm w14:val="lining"/>
              </w:rPr>
              <w:t>420,586.50</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929FF" w:rsidP="002746E2">
            <w:pPr>
              <w:jc w:val="right"/>
              <w:rPr>
                <w:rFonts w:ascii="Arial" w:hAnsi="Arial" w:cs="Arial"/>
                <w:b/>
                <w:bCs/>
                <w:color w:val="000000"/>
                <w:sz w:val="17"/>
                <w:szCs w:val="17"/>
              </w:rPr>
            </w:pPr>
            <w:r>
              <w:rPr>
                <w:rFonts w:ascii="Arial" w:hAnsi="Arial" w:cs="Arial"/>
                <w:b/>
                <w:bCs/>
                <w:color w:val="000000"/>
                <w:sz w:val="17"/>
                <w:szCs w:val="17"/>
              </w:rPr>
              <w:t>420,586.50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46DE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46DE5">
              <w:rPr>
                <w:rFonts w:ascii="Arial" w:hAnsi="Arial" w:cs="Arial"/>
                <w:b/>
                <w:bCs/>
                <w:noProof/>
                <w:color w:val="000000"/>
                <w:sz w:val="17"/>
                <w:szCs w:val="17"/>
                <w14:numForm w14:val="lining"/>
              </w:rPr>
              <w:t>74,613,590.98</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246DE5">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246DE5">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246DE5">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246DE5">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246DE5">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246DE5">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46DE5">
            <w:pPr>
              <w:jc w:val="center"/>
              <w:rPr>
                <w:rFonts w:ascii="Calibri" w:hAnsi="Calibri"/>
                <w:b/>
                <w:bCs/>
                <w:color w:val="000000"/>
                <w:sz w:val="18"/>
                <w:szCs w:val="18"/>
              </w:rPr>
            </w:pPr>
            <w:r>
              <w:rPr>
                <w:rFonts w:ascii="Calibri" w:hAnsi="Calibri"/>
                <w:b/>
                <w:bCs/>
                <w:color w:val="000000"/>
                <w:sz w:val="18"/>
                <w:szCs w:val="18"/>
              </w:rPr>
              <w:t>“NO APLICA”</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46DE5">
            <w:pPr>
              <w:jc w:val="right"/>
              <w:rPr>
                <w:rFonts w:ascii="Calibri" w:hAnsi="Calibri"/>
                <w:b/>
                <w:bCs/>
                <w:color w:val="000000"/>
                <w:sz w:val="18"/>
                <w:szCs w:val="18"/>
              </w:rPr>
            </w:pPr>
            <w:r>
              <w:rPr>
                <w:rFonts w:ascii="Calibri" w:hAnsi="Calibri"/>
                <w:b/>
                <w:bCs/>
                <w:color w:val="000000"/>
                <w:sz w:val="18"/>
                <w:szCs w:val="18"/>
              </w:rPr>
              <w:t>$ 73,813,435.47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46DE5">
            <w:pPr>
              <w:jc w:val="center"/>
              <w:rPr>
                <w:rFonts w:ascii="Calibri" w:hAnsi="Calibri"/>
                <w:b/>
                <w:bCs/>
                <w:color w:val="000000"/>
                <w:sz w:val="18"/>
                <w:szCs w:val="18"/>
              </w:rPr>
            </w:pPr>
            <w:r>
              <w:rPr>
                <w:rFonts w:ascii="Calibri" w:hAnsi="Calibri"/>
                <w:b/>
                <w:bCs/>
                <w:color w:val="000000"/>
                <w:sz w:val="18"/>
                <w:szCs w:val="18"/>
              </w:rPr>
              <w:t>Programas Sociales</w:t>
            </w:r>
            <w:r w:rsidR="002E6460">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pPr>
              <w:jc w:val="right"/>
              <w:rPr>
                <w:rFonts w:ascii="Calibri" w:hAnsi="Calibri"/>
                <w:b/>
                <w:bCs/>
                <w:color w:val="000000"/>
                <w:sz w:val="18"/>
                <w:szCs w:val="18"/>
              </w:rPr>
            </w:pPr>
            <w:r>
              <w:rPr>
                <w:rFonts w:ascii="Calibri" w:hAnsi="Calibri"/>
                <w:b/>
                <w:bCs/>
                <w:color w:val="000000"/>
                <w:sz w:val="18"/>
                <w:szCs w:val="18"/>
              </w:rPr>
              <w:t>112,364,925.00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pPr>
              <w:jc w:val="right"/>
              <w:rPr>
                <w:rFonts w:ascii="Calibri" w:hAnsi="Calibri"/>
                <w:b/>
                <w:bCs/>
                <w:color w:val="000000"/>
                <w:sz w:val="18"/>
                <w:szCs w:val="18"/>
              </w:rPr>
            </w:pPr>
            <w:r>
              <w:rPr>
                <w:rFonts w:ascii="Calibri" w:hAnsi="Calibri"/>
                <w:b/>
                <w:bCs/>
                <w:color w:val="000000"/>
                <w:sz w:val="18"/>
                <w:szCs w:val="18"/>
              </w:rPr>
              <w:t>139,994,693.90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pPr>
              <w:jc w:val="right"/>
              <w:rPr>
                <w:rFonts w:ascii="Calibri" w:hAnsi="Calibri"/>
                <w:b/>
                <w:bCs/>
                <w:color w:val="000000"/>
                <w:sz w:val="18"/>
                <w:szCs w:val="18"/>
              </w:rPr>
            </w:pPr>
            <w:r>
              <w:rPr>
                <w:rFonts w:ascii="Calibri" w:hAnsi="Calibri"/>
                <w:b/>
                <w:bCs/>
                <w:color w:val="000000"/>
                <w:sz w:val="18"/>
                <w:szCs w:val="18"/>
              </w:rPr>
              <w:t>27,629,768.90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pPr>
              <w:jc w:val="right"/>
              <w:rPr>
                <w:rFonts w:ascii="Calibri" w:hAnsi="Calibri"/>
                <w:b/>
                <w:bCs/>
                <w:color w:val="000000"/>
                <w:sz w:val="18"/>
                <w:szCs w:val="18"/>
              </w:rPr>
            </w:pPr>
            <w:r>
              <w:rPr>
                <w:rFonts w:ascii="Calibri" w:hAnsi="Calibri"/>
                <w:b/>
                <w:bCs/>
                <w:color w:val="000000"/>
                <w:sz w:val="18"/>
                <w:szCs w:val="18"/>
              </w:rPr>
              <w:t>70,913,508.29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pPr>
              <w:jc w:val="right"/>
              <w:rPr>
                <w:rFonts w:ascii="Calibri" w:hAnsi="Calibri"/>
                <w:b/>
                <w:bCs/>
                <w:color w:val="000000"/>
                <w:sz w:val="18"/>
                <w:szCs w:val="18"/>
              </w:rPr>
            </w:pPr>
            <w:r>
              <w:rPr>
                <w:rFonts w:ascii="Calibri" w:hAnsi="Calibri"/>
                <w:b/>
                <w:bCs/>
                <w:color w:val="000000"/>
                <w:sz w:val="18"/>
                <w:szCs w:val="18"/>
              </w:rPr>
              <w:t>70,913,508.29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246DE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46DE5">
              <w:rPr>
                <w:rFonts w:ascii="Arial" w:hAnsi="Arial" w:cs="Arial"/>
                <w:b/>
                <w:bCs/>
                <w:noProof/>
                <w:color w:val="000000"/>
                <w:sz w:val="17"/>
                <w:szCs w:val="17"/>
                <w14:numForm w14:val="lining"/>
              </w:rPr>
              <w:t>(41,451,416.71)</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rsidP="00C17CE0">
            <w:pPr>
              <w:jc w:val="right"/>
              <w:rPr>
                <w:rFonts w:ascii="Calibri" w:hAnsi="Calibri"/>
                <w:b/>
                <w:bCs/>
                <w:color w:val="000000"/>
                <w:sz w:val="18"/>
                <w:szCs w:val="18"/>
              </w:rPr>
            </w:pPr>
            <w:r>
              <w:rPr>
                <w:rFonts w:ascii="Calibri" w:hAnsi="Calibri"/>
                <w:b/>
                <w:bCs/>
                <w:color w:val="000000"/>
                <w:sz w:val="18"/>
                <w:szCs w:val="18"/>
              </w:rPr>
              <w:t>112,364925.00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rsidP="00C17CE0">
            <w:pPr>
              <w:jc w:val="right"/>
              <w:rPr>
                <w:rFonts w:ascii="Calibri" w:hAnsi="Calibri"/>
                <w:b/>
                <w:bCs/>
                <w:color w:val="000000"/>
                <w:sz w:val="18"/>
                <w:szCs w:val="18"/>
              </w:rPr>
            </w:pPr>
            <w:r>
              <w:rPr>
                <w:rFonts w:ascii="Calibri" w:hAnsi="Calibri"/>
                <w:b/>
                <w:bCs/>
                <w:color w:val="000000"/>
                <w:sz w:val="18"/>
                <w:szCs w:val="18"/>
              </w:rPr>
              <w:t>146,861,512.22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rsidP="00C17CE0">
            <w:pPr>
              <w:jc w:val="right"/>
              <w:rPr>
                <w:rFonts w:ascii="Calibri" w:hAnsi="Calibri"/>
                <w:b/>
                <w:bCs/>
                <w:color w:val="000000"/>
                <w:sz w:val="18"/>
                <w:szCs w:val="18"/>
              </w:rPr>
            </w:pPr>
            <w:r>
              <w:rPr>
                <w:rFonts w:ascii="Calibri" w:hAnsi="Calibri"/>
                <w:b/>
                <w:bCs/>
                <w:color w:val="000000"/>
                <w:sz w:val="18"/>
                <w:szCs w:val="18"/>
              </w:rPr>
              <w:t>34,496,587.22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rsidP="00C17CE0">
            <w:pPr>
              <w:jc w:val="right"/>
              <w:rPr>
                <w:rFonts w:ascii="Calibri" w:hAnsi="Calibri"/>
                <w:b/>
                <w:bCs/>
                <w:color w:val="000000"/>
                <w:sz w:val="18"/>
                <w:szCs w:val="18"/>
              </w:rPr>
            </w:pPr>
            <w:r>
              <w:rPr>
                <w:rFonts w:ascii="Calibri" w:hAnsi="Calibri"/>
                <w:b/>
                <w:bCs/>
                <w:color w:val="000000"/>
                <w:sz w:val="18"/>
                <w:szCs w:val="18"/>
              </w:rPr>
              <w:t>161,843.91</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rsidP="00C17CE0">
            <w:pPr>
              <w:jc w:val="right"/>
              <w:rPr>
                <w:rFonts w:ascii="Calibri" w:hAnsi="Calibri"/>
                <w:b/>
                <w:bCs/>
                <w:color w:val="000000"/>
                <w:sz w:val="18"/>
                <w:szCs w:val="18"/>
              </w:rPr>
            </w:pPr>
            <w:r>
              <w:rPr>
                <w:rFonts w:ascii="Calibri" w:hAnsi="Calibri"/>
                <w:b/>
                <w:bCs/>
                <w:color w:val="000000"/>
                <w:sz w:val="18"/>
                <w:szCs w:val="18"/>
              </w:rPr>
              <w:t>77,910,166.77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246DE5" w:rsidP="00F20D97">
            <w:pPr>
              <w:jc w:val="right"/>
              <w:rPr>
                <w:rFonts w:ascii="Calibri" w:hAnsi="Calibri"/>
                <w:b/>
                <w:bCs/>
                <w:color w:val="000000"/>
                <w:sz w:val="18"/>
                <w:szCs w:val="18"/>
              </w:rPr>
            </w:pPr>
            <w:r>
              <w:rPr>
                <w:rFonts w:ascii="Calibri" w:hAnsi="Calibri"/>
                <w:b/>
                <w:bCs/>
                <w:color w:val="000000"/>
                <w:sz w:val="18"/>
                <w:szCs w:val="18"/>
              </w:rPr>
              <w:t>77,</w:t>
            </w:r>
            <w:r w:rsidR="00F20D97">
              <w:rPr>
                <w:rFonts w:ascii="Calibri" w:hAnsi="Calibri"/>
                <w:b/>
                <w:bCs/>
                <w:color w:val="000000"/>
                <w:sz w:val="18"/>
                <w:szCs w:val="18"/>
              </w:rPr>
              <w:t>910,166.77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20D97" w:rsidP="00C17CE0">
            <w:pPr>
              <w:jc w:val="right"/>
              <w:rPr>
                <w:rFonts w:ascii="Calibri" w:hAnsi="Calibri"/>
                <w:b/>
                <w:bCs/>
                <w:color w:val="000000"/>
                <w:sz w:val="18"/>
                <w:szCs w:val="18"/>
              </w:rPr>
            </w:pPr>
            <w:r>
              <w:rPr>
                <w:rFonts w:ascii="Calibri" w:hAnsi="Calibri"/>
                <w:b/>
                <w:bCs/>
                <w:color w:val="000000"/>
                <w:sz w:val="18"/>
                <w:szCs w:val="18"/>
              </w:rPr>
              <w:t>77,748,322.86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F20D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20D97">
              <w:rPr>
                <w:rFonts w:ascii="Arial" w:hAnsi="Arial" w:cs="Arial"/>
                <w:b/>
                <w:bCs/>
                <w:noProof/>
                <w:color w:val="000000"/>
                <w:sz w:val="17"/>
                <w:szCs w:val="17"/>
                <w14:numForm w14:val="lining"/>
              </w:rPr>
              <w:t>68,951,345.45</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053D2" w:rsidRPr="00A67440" w:rsidRDefault="00F20D97" w:rsidP="00A67440">
      <w:pPr>
        <w:spacing w:before="120" w:after="120" w:line="240" w:lineRule="exact"/>
        <w:jc w:val="both"/>
        <w:rPr>
          <w:rFonts w:ascii="Arial" w:eastAsia="Calibri" w:hAnsi="Arial" w:cs="Arial"/>
          <w:spacing w:val="-1"/>
          <w:sz w:val="17"/>
          <w:szCs w:val="17"/>
        </w:rPr>
      </w:pPr>
      <w:r w:rsidRPr="00460C52">
        <w:rPr>
          <w:rFonts w:asciiTheme="minorHAnsi" w:hAnsiTheme="minorHAnsi" w:cstheme="minorHAnsi"/>
          <w:b/>
          <w:sz w:val="16"/>
          <w:szCs w:val="16"/>
        </w:rPr>
        <w:t>El Instituto de la Vivienda del Estado de Querétaro (IVEQ),  depende principalmente de  subsidios  estatales y federales para operar obras y acciones,  sus ingresos propios son menores.</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F20D97" w:rsidRPr="00F20D97" w:rsidRDefault="00F20D97" w:rsidP="00F20D97">
      <w:pPr>
        <w:spacing w:before="120" w:after="120" w:line="240" w:lineRule="exact"/>
        <w:ind w:left="360"/>
        <w:jc w:val="both"/>
        <w:rPr>
          <w:rFonts w:asciiTheme="minorHAnsi" w:eastAsia="Calibri" w:hAnsiTheme="minorHAnsi" w:cstheme="minorHAnsi"/>
          <w:b/>
          <w:spacing w:val="-1"/>
          <w:sz w:val="16"/>
          <w:szCs w:val="16"/>
        </w:rPr>
      </w:pPr>
      <w:r w:rsidRPr="00F20D97">
        <w:rPr>
          <w:rFonts w:asciiTheme="minorHAnsi" w:hAnsiTheme="minorHAnsi" w:cstheme="minorHAnsi"/>
          <w:b/>
          <w:sz w:val="16"/>
          <w:szCs w:val="16"/>
        </w:rPr>
        <w:t>El Instituto de la Vivienda del Estado de Querétaro es un Organismo Público Descentralizado del Gobierno del Estado de Querétaro con personalidad jurídica, patrimonio propio y autonomía técnica y orgánica, creado mediante Decreto del Poder Ejecutivo Estatal el 21 de julio de 1982, denominado entonces Comisión Estatal de Vivienda, el cual tuvo modificaciones posteriores publicadas en el Periódico Oficial “La Sombra de Arteaga” con fecha 16 de julio de 2004, en el que se cambió la denominación del Organismo por Instituto de la Vivienda del Estado de Querétaro, además de reformar, adicionar y derogar diversas disposiciones  del Decreto que creó del Organismo. El 30 de agosto de 2013 se publica en el Periódico Oficial “La Sombra de Arteaga” la última reforma.</w:t>
      </w:r>
    </w:p>
    <w:p w:rsidR="00F20D97" w:rsidRPr="00A67440" w:rsidRDefault="00F20D97" w:rsidP="00F20D97">
      <w:pPr>
        <w:pStyle w:val="Prrafodelista"/>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F20D97" w:rsidRPr="00F20D97" w:rsidRDefault="00F20D97" w:rsidP="00F20D97">
      <w:pPr>
        <w:spacing w:before="120" w:after="120" w:line="240" w:lineRule="exact"/>
        <w:ind w:left="360"/>
        <w:jc w:val="both"/>
        <w:rPr>
          <w:rFonts w:asciiTheme="minorHAnsi" w:eastAsia="Calibri" w:hAnsiTheme="minorHAnsi" w:cstheme="minorHAnsi"/>
          <w:b/>
          <w:spacing w:val="-1"/>
          <w:sz w:val="16"/>
          <w:szCs w:val="16"/>
        </w:rPr>
      </w:pPr>
      <w:r w:rsidRPr="00F20D97">
        <w:rPr>
          <w:rFonts w:asciiTheme="minorHAnsi" w:hAnsiTheme="minorHAnsi" w:cstheme="minorHAnsi"/>
          <w:b/>
          <w:sz w:val="16"/>
          <w:szCs w:val="16"/>
        </w:rPr>
        <w:t>El Reglamento Interior del Instituto de la Vivienda del Estado de Querétaro se encuentra en proceso de autorización.</w:t>
      </w:r>
    </w:p>
    <w:p w:rsidR="00A67440" w:rsidRDefault="00A67440" w:rsidP="00F20D97">
      <w:pPr>
        <w:spacing w:before="120" w:after="120" w:line="240" w:lineRule="exact"/>
        <w:ind w:left="360"/>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F20D97" w:rsidRPr="00F20D97" w:rsidRDefault="00F20D97" w:rsidP="00F20D97">
      <w:pPr>
        <w:spacing w:before="120" w:after="120" w:line="240" w:lineRule="exact"/>
        <w:ind w:left="360"/>
        <w:jc w:val="both"/>
        <w:rPr>
          <w:rFonts w:ascii="Arial" w:eastAsia="Calibri" w:hAnsi="Arial" w:cs="Arial"/>
          <w:spacing w:val="-1"/>
          <w:sz w:val="17"/>
          <w:szCs w:val="17"/>
        </w:rPr>
      </w:pPr>
      <w:r w:rsidRPr="00460C52">
        <w:rPr>
          <w:rFonts w:asciiTheme="minorHAnsi" w:hAnsiTheme="minorHAnsi" w:cstheme="minorHAnsi"/>
          <w:b/>
          <w:sz w:val="16"/>
          <w:szCs w:val="16"/>
        </w:rPr>
        <w:t xml:space="preserve">El Instituto tiene por objeto programar, promover, enajenar, financiar o construir, desarrollar actividades de mejoramiento, reposición, reparación y ampliación de viviendas, fraccionamientos y asentamientos humanos y las áreas de equipamiento urbano correspondientes, en el territorio del Estado, ya sea por sí o través de terceros; intervenir en la regularización de asentamientos </w:t>
      </w:r>
      <w:r w:rsidRPr="00460C52">
        <w:rPr>
          <w:rFonts w:asciiTheme="minorHAnsi" w:hAnsiTheme="minorHAnsi" w:cstheme="minorHAnsi"/>
          <w:b/>
          <w:sz w:val="16"/>
          <w:szCs w:val="16"/>
        </w:rPr>
        <w:lastRenderedPageBreak/>
        <w:t>humanos irregulares, en los términos que las leyes prevean; y generar el desarrollo integral de la vivienda. Igualmente, podrá promover, apoyar, gestionar y coordinar ante los particulares y autoridades, la ejecución de programas y proyectos para el aprovechamiento de las reservas territoriales en el Estado, así como de los demás bienes inmuebles y derechos que el organismo adquiera por diferentes medios legales.</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b/>
          <w:sz w:val="16"/>
          <w:szCs w:val="16"/>
        </w:rPr>
        <w:t>Para el cumplimiento de su objeto, el Instituto tendrá las siguientes atribuciones:</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I.- Constituir mediante la compraventa, permuta, donación o cualquier otra forma jurídica de apropiación o adquisición de terrenos, una bolsa de tierra para vivienda;</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II.- Promover y ejecutar viviendas por cuenta propia o de terceros, preferentemente de interés social, tanto en zonas urbanas y suburbanas, como en las rurales;</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III.- Coordinar los programas estatales de vivienda que, a través del mismo Instituto, se desarrollen en el Estado y operar los fondos de vivienda que para el efecto se constituyan;</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IV.- Obtener los créditos que se requieran para llevar a cabo los desarrollos habitacionales;</w:t>
      </w:r>
      <w:r w:rsidRPr="00F20D97">
        <w:rPr>
          <w:rFonts w:asciiTheme="minorHAnsi" w:hAnsiTheme="minorHAnsi" w:cstheme="minorHAnsi"/>
          <w:b/>
          <w:sz w:val="16"/>
          <w:szCs w:val="16"/>
        </w:rPr>
        <w:tab/>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b/>
          <w:sz w:val="16"/>
          <w:szCs w:val="16"/>
        </w:rPr>
        <w:t>V.- Constituir y administrar la reserva territorial para vivienda y áreas de equipamiento urbano en el Estado, mediante cualquier forma jurídica de apropiación, de acuerdo con las instancias federales, estatales y municipales que corresponda;</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b/>
          <w:sz w:val="16"/>
          <w:szCs w:val="16"/>
        </w:rPr>
        <w:t>VI.- Ejercer, previa autorización del Ejecutivo del Estado, el derecho de tanto que corresponde al Gobierno de Estado en los diferentes programas de cambio de modalidad territorial o regularización de tenencia de la tierra, así como promover la gestión de la expropiación de terrenos de acuerdo con lo dispuesto en la Ley de Expropiación, Ley Agraria, Ley General de Asentamientos Humanos y demás ordenamientos aplicables;</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b/>
          <w:sz w:val="16"/>
          <w:szCs w:val="16"/>
        </w:rPr>
        <w:t>VII.- Ser beneficiario de las expropiaciones que se destinen para asentamientos humanos o para su regularización, así como para constituir la reserva territorial en el Estado, relacionada con su objeto; las cuales deberán estar  inscritas en un Registro Patrimonial del Instituto.</w:t>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VIII.- Intervenir en los procesos de  regularización de la tenencia de la tierra urbana de propiedad privada o pública, en términos  de la legislación aplicable;</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b/>
          <w:sz w:val="16"/>
          <w:szCs w:val="16"/>
        </w:rPr>
        <w:t>IX.- Realizar cualquier contrato traslativo de dominio o de uso sobre bienes inmuebles propiedad del Instituto, así como, en su caso, la forma en que éstos sean revocados, terminados o rescindidos;</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X.- Ejecutar las obras necesarias para la habilitación o construcción de las zonas urbanas que así lo requieran, por sí o a través de terceros;</w:t>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XI.- Ejecutar las obras de urbanización e infraestructura en los asentamientos humanos irregulares en cuya regularización intervenga, por sí o a través de terceros;</w:t>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b/>
          <w:sz w:val="16"/>
          <w:szCs w:val="16"/>
        </w:rPr>
        <w:t>XII.- Promover o coadyuvar en la construcción de viviendas o fraccionamientos por sí, a través de terceros o en asociación con otros, para trabajadores no afiliados a un régimen de vivienda, así como para los trabajadores al servicio de los poderes del Estado;</w:t>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XIII.- Promover y participar en los programas de promoción y comercialización de materiales para la construcción de vivienda de interés social;</w:t>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XIV.- Coadyuvar con el Gobierno del Estado y de los Municipios en la elaboración de los planes de desarrollo urbano;</w:t>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XV.- Administrar los bienes que le sean transferidos en cualquiera de sus formas por la Federación, el Estado, Municipios o particulares;</w:t>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XVI.- En general, celebrar todos los contratos o convenios y llevar a cabo todos aquellos actos que coadyuven con la consecución de su objeto; y</w:t>
      </w:r>
    </w:p>
    <w:p w:rsidR="00F20D97" w:rsidRPr="00F20D97" w:rsidRDefault="00F20D97" w:rsidP="00F20D97">
      <w:pPr>
        <w:spacing w:before="120" w:after="120" w:line="240" w:lineRule="exact"/>
        <w:ind w:firstLine="360"/>
        <w:jc w:val="both"/>
        <w:rPr>
          <w:rFonts w:ascii="Arial" w:eastAsia="Calibri" w:hAnsi="Arial" w:cs="Arial"/>
          <w:spacing w:val="-1"/>
          <w:sz w:val="17"/>
          <w:szCs w:val="17"/>
        </w:rPr>
      </w:pPr>
      <w:r w:rsidRPr="00F20D97">
        <w:rPr>
          <w:rFonts w:asciiTheme="minorHAnsi" w:hAnsiTheme="minorHAnsi" w:cstheme="minorHAnsi"/>
          <w:b/>
          <w:sz w:val="16"/>
          <w:szCs w:val="16"/>
        </w:rPr>
        <w:t>XVII.- Las demás que le concedan otras leyes u ordenamientos aplicables.</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p>
    <w:p w:rsidR="00F20D97" w:rsidRPr="00F20D97" w:rsidRDefault="00F20D97" w:rsidP="00F20D97">
      <w:pPr>
        <w:spacing w:before="120" w:after="120" w:line="240" w:lineRule="exact"/>
        <w:ind w:left="360"/>
        <w:jc w:val="both"/>
        <w:rPr>
          <w:rFonts w:asciiTheme="minorHAnsi" w:eastAsia="Calibri" w:hAnsiTheme="minorHAnsi" w:cstheme="minorHAnsi"/>
          <w:b/>
          <w:spacing w:val="-1"/>
          <w:sz w:val="16"/>
          <w:szCs w:val="16"/>
        </w:rPr>
      </w:pPr>
      <w:r w:rsidRPr="00F20D97">
        <w:rPr>
          <w:rFonts w:asciiTheme="minorHAnsi" w:hAnsiTheme="minorHAnsi" w:cstheme="minorHAnsi"/>
          <w:b/>
          <w:sz w:val="16"/>
          <w:szCs w:val="16"/>
        </w:rPr>
        <w:t>Ejercicio fiscal 2017,  comprendido del 1º  de Enero al 31 de Diciembre de 2017.</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F20D97" w:rsidRPr="00F20D97" w:rsidRDefault="00F20D97" w:rsidP="00F20D97">
      <w:pPr>
        <w:spacing w:before="120" w:after="120" w:line="240" w:lineRule="exact"/>
        <w:ind w:left="360"/>
        <w:jc w:val="both"/>
        <w:rPr>
          <w:rFonts w:asciiTheme="minorHAnsi" w:eastAsia="Calibri" w:hAnsiTheme="minorHAnsi" w:cstheme="minorHAnsi"/>
          <w:b/>
          <w:spacing w:val="-1"/>
          <w:sz w:val="16"/>
          <w:szCs w:val="16"/>
        </w:rPr>
      </w:pPr>
      <w:r w:rsidRPr="00F20D97">
        <w:rPr>
          <w:rFonts w:asciiTheme="minorHAnsi" w:hAnsiTheme="minorHAnsi" w:cstheme="minorHAnsi"/>
          <w:b/>
          <w:sz w:val="16"/>
          <w:szCs w:val="16"/>
        </w:rPr>
        <w:t>El Instituto de la Vivienda del Estado de Querétaro es un Organismo Público Descentralizado del Gobierno del Estado de Querétaro con personalidad jurídica y patrimonio propio,  se encuentra registrado ante la Secretaria de Hacienda y Crédito Público  dentro del Título  III de la Ley de Impuesto sobre la Renta, como Persona Moral con Fines No Lucrativos.</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F20D97" w:rsidRPr="00F20D97" w:rsidRDefault="00F20D97" w:rsidP="00F20D97">
      <w:pPr>
        <w:ind w:left="360"/>
        <w:jc w:val="both"/>
        <w:rPr>
          <w:rFonts w:asciiTheme="minorHAnsi" w:hAnsiTheme="minorHAnsi" w:cstheme="minorHAnsi"/>
          <w:b/>
          <w:sz w:val="16"/>
          <w:szCs w:val="16"/>
        </w:rPr>
      </w:pPr>
      <w:r w:rsidRPr="00F20D97">
        <w:rPr>
          <w:rFonts w:asciiTheme="minorHAnsi" w:hAnsiTheme="minorHAnsi" w:cstheme="minorHAnsi"/>
          <w:sz w:val="16"/>
          <w:szCs w:val="16"/>
        </w:rPr>
        <w:t xml:space="preserve">• </w:t>
      </w:r>
      <w:r w:rsidRPr="00F20D97">
        <w:rPr>
          <w:rFonts w:asciiTheme="minorHAnsi" w:hAnsiTheme="minorHAnsi" w:cstheme="minorHAnsi"/>
          <w:b/>
          <w:sz w:val="16"/>
          <w:szCs w:val="16"/>
        </w:rPr>
        <w:t>Enteros mensuales de retenciones por sueldos y salarios, servicios profesionales e IVA accidental, a más tardar el día 17 del mes inmediato posterior a aquel al que corresponda el pago</w:t>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 Entero mensual de cuotas obrero-patronales del seguro social a más tardar el día 17 del mes inmediato posterior al que corresponda el pago</w:t>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 Entero bimestral de las cuotas del seguro de RCV a más tardar el día 17 del mes inmediato posterior a cada bimestre al que corresponda el pago.</w:t>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 Entero del Impuesto Sobre Nóminas a más tardar el día 22 del mes inmediato posterior al que corresponda el pago.</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lastRenderedPageBreak/>
        <w:t>• Declaración informativa mensual de Operaciones con Terceros a más tardar el día último día de cada mes.</w:t>
      </w:r>
      <w:r w:rsidRPr="00F20D97">
        <w:rPr>
          <w:rFonts w:asciiTheme="minorHAnsi" w:hAnsiTheme="minorHAnsi" w:cstheme="minorHAnsi"/>
          <w:b/>
          <w:sz w:val="16"/>
          <w:szCs w:val="16"/>
        </w:rPr>
        <w:tab/>
      </w:r>
      <w:r w:rsidRPr="00F20D97">
        <w:rPr>
          <w:rFonts w:asciiTheme="minorHAnsi" w:hAnsiTheme="minorHAnsi" w:cstheme="minorHAnsi"/>
          <w:b/>
          <w:sz w:val="16"/>
          <w:szCs w:val="16"/>
        </w:rPr>
        <w:tab/>
      </w:r>
      <w:r w:rsidRPr="00F20D97">
        <w:rPr>
          <w:rFonts w:asciiTheme="minorHAnsi" w:hAnsiTheme="minorHAnsi" w:cstheme="minorHAnsi"/>
          <w:b/>
          <w:sz w:val="16"/>
          <w:szCs w:val="16"/>
        </w:rPr>
        <w:tab/>
      </w:r>
    </w:p>
    <w:p w:rsidR="00F20D97" w:rsidRPr="00F20D97" w:rsidRDefault="00F20D97" w:rsidP="00F20D97">
      <w:pPr>
        <w:ind w:firstLine="360"/>
        <w:jc w:val="both"/>
        <w:rPr>
          <w:rFonts w:asciiTheme="minorHAnsi" w:hAnsiTheme="minorHAnsi" w:cstheme="minorHAnsi"/>
          <w:b/>
          <w:sz w:val="16"/>
          <w:szCs w:val="16"/>
        </w:rPr>
      </w:pPr>
      <w:r w:rsidRPr="00F20D97">
        <w:rPr>
          <w:rFonts w:asciiTheme="minorHAnsi" w:hAnsiTheme="minorHAnsi" w:cstheme="minorHAnsi"/>
          <w:b/>
          <w:sz w:val="16"/>
          <w:szCs w:val="16"/>
        </w:rPr>
        <w:t>• Declaración informativa anual de retenciones de impuesto sobre la renta realizadas en el año de calendario anterior, a más tardar el 15 de Febrero de cada mes</w:t>
      </w:r>
    </w:p>
    <w:p w:rsidR="00F20D97" w:rsidRPr="00F20D97" w:rsidRDefault="00F20D97" w:rsidP="00F20D97">
      <w:pPr>
        <w:keepNext/>
        <w:widowControl w:val="0"/>
        <w:ind w:firstLine="357"/>
        <w:jc w:val="both"/>
        <w:rPr>
          <w:rFonts w:asciiTheme="minorHAnsi" w:hAnsiTheme="minorHAnsi" w:cstheme="minorHAnsi"/>
          <w:b/>
          <w:sz w:val="16"/>
          <w:szCs w:val="16"/>
        </w:rPr>
      </w:pPr>
      <w:r w:rsidRPr="00F20D97">
        <w:rPr>
          <w:rFonts w:asciiTheme="minorHAnsi" w:hAnsiTheme="minorHAnsi" w:cstheme="minorHAnsi"/>
          <w:b/>
          <w:sz w:val="16"/>
          <w:szCs w:val="16"/>
        </w:rPr>
        <w:t>• Declaración anual del Impuesto sobre Nóminas sobre pagos realizados en el año de calendario anterior, durante el mes de febrero de cada año.</w:t>
      </w:r>
    </w:p>
    <w:p w:rsidR="00F20D97" w:rsidRPr="00F20D97" w:rsidRDefault="00F20D97" w:rsidP="00F20D97">
      <w:pPr>
        <w:keepNext/>
        <w:widowControl w:val="0"/>
        <w:spacing w:before="120" w:after="120" w:line="240" w:lineRule="exact"/>
        <w:ind w:firstLine="357"/>
        <w:jc w:val="both"/>
        <w:rPr>
          <w:rFonts w:ascii="Arial" w:eastAsia="Calibri" w:hAnsi="Arial" w:cs="Arial"/>
          <w:spacing w:val="-1"/>
          <w:sz w:val="17"/>
          <w:szCs w:val="17"/>
        </w:rPr>
      </w:pPr>
      <w:r w:rsidRPr="00F20D97">
        <w:rPr>
          <w:rFonts w:asciiTheme="minorHAnsi" w:hAnsiTheme="minorHAnsi" w:cstheme="minorHAnsi"/>
          <w:b/>
          <w:sz w:val="16"/>
          <w:szCs w:val="16"/>
        </w:rPr>
        <w:t>• Declaración anual de prima de seguro de riesgo de trabajo durante el mes de febrero de cada año.</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r w:rsidRPr="00460C52">
        <w:rPr>
          <w:rFonts w:asciiTheme="minorHAnsi" w:eastAsia="Calibri" w:hAnsiTheme="minorHAnsi" w:cstheme="minorHAnsi"/>
          <w:noProof/>
          <w:spacing w:val="-1"/>
          <w:sz w:val="16"/>
          <w:szCs w:val="16"/>
        </w:rPr>
        <w:drawing>
          <wp:anchor distT="0" distB="0" distL="114300" distR="114300" simplePos="0" relativeHeight="251659264" behindDoc="0" locked="0" layoutInCell="1" allowOverlap="1" wp14:anchorId="684D2352" wp14:editId="7250F11B">
            <wp:simplePos x="0" y="0"/>
            <wp:positionH relativeFrom="column">
              <wp:posOffset>711200</wp:posOffset>
            </wp:positionH>
            <wp:positionV relativeFrom="paragraph">
              <wp:posOffset>257175</wp:posOffset>
            </wp:positionV>
            <wp:extent cx="5872245" cy="3068375"/>
            <wp:effectExtent l="0" t="0" r="0" b="0"/>
            <wp:wrapNone/>
            <wp:docPr id="8" name="Imagen 3" descr="C:\Users\conta1\Desktop\organigrama.jpg"/>
            <wp:cNvGraphicFramePr/>
            <a:graphic xmlns:a="http://schemas.openxmlformats.org/drawingml/2006/main">
              <a:graphicData uri="http://schemas.openxmlformats.org/drawingml/2006/picture">
                <pic:pic xmlns:pic="http://schemas.openxmlformats.org/drawingml/2006/picture">
                  <pic:nvPicPr>
                    <pic:cNvPr id="0" name="Picture 1" descr="C:\Users\conta1\Desktop\organigrama.jpg"/>
                    <pic:cNvPicPr>
                      <a:picLocks noChangeAspect="1" noChangeArrowheads="1"/>
                    </pic:cNvPicPr>
                  </pic:nvPicPr>
                  <pic:blipFill>
                    <a:blip r:embed="rId13" cstate="print">
                      <a:extLst>
                        <a:ext uri="{28A0092B-C50C-407E-A947-70E740481C1C}">
                          <a14:useLocalDpi xmlns:a14="http://schemas.microsoft.com/office/drawing/2010/main" val="0"/>
                        </a:ext>
                      </a:extLst>
                    </a:blip>
                    <a:srcRect b="13974"/>
                    <a:stretch>
                      <a:fillRect/>
                    </a:stretch>
                  </pic:blipFill>
                  <pic:spPr bwMode="auto">
                    <a:xfrm>
                      <a:off x="0" y="0"/>
                      <a:ext cx="5876783" cy="3070746"/>
                    </a:xfrm>
                    <a:prstGeom prst="rect">
                      <a:avLst/>
                    </a:prstGeom>
                    <a:noFill/>
                    <a:ln>
                      <a:noFill/>
                    </a:ln>
                  </pic:spPr>
                </pic:pic>
              </a:graphicData>
            </a:graphic>
          </wp:anchor>
        </w:drawing>
      </w: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39749B" w:rsidRDefault="0039749B" w:rsidP="0039749B">
      <w:pPr>
        <w:pStyle w:val="Prrafodelista"/>
        <w:spacing w:before="120" w:after="120" w:line="240" w:lineRule="exact"/>
        <w:jc w:val="both"/>
        <w:rPr>
          <w:rFonts w:ascii="Arial" w:eastAsia="Calibri" w:hAnsi="Arial" w:cs="Arial"/>
          <w:spacing w:val="-1"/>
          <w:sz w:val="17"/>
          <w:szCs w:val="17"/>
        </w:rPr>
      </w:pPr>
    </w:p>
    <w:p w:rsidR="00F20D97" w:rsidRPr="00A67440" w:rsidRDefault="0039749B" w:rsidP="0039749B">
      <w:pPr>
        <w:pStyle w:val="Prrafodelista"/>
        <w:spacing w:before="120" w:after="120" w:line="240" w:lineRule="exact"/>
        <w:jc w:val="both"/>
        <w:rPr>
          <w:rFonts w:ascii="Arial" w:eastAsia="Calibri" w:hAnsi="Arial" w:cs="Arial"/>
          <w:spacing w:val="-1"/>
          <w:sz w:val="17"/>
          <w:szCs w:val="17"/>
        </w:rPr>
      </w:pPr>
      <w:r>
        <w:rPr>
          <w:rFonts w:ascii="Arial" w:eastAsia="Calibri" w:hAnsi="Arial" w:cs="Arial"/>
          <w:noProof/>
          <w:spacing w:val="-1"/>
          <w:sz w:val="17"/>
          <w:szCs w:val="17"/>
        </w:rPr>
        <w:drawing>
          <wp:inline distT="0" distB="0" distL="0" distR="0" wp14:anchorId="3B898732" wp14:editId="26145DAF">
            <wp:extent cx="5871210" cy="30727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1210" cy="3072765"/>
                    </a:xfrm>
                    <a:prstGeom prst="rect">
                      <a:avLst/>
                    </a:prstGeom>
                    <a:noFill/>
                  </pic:spPr>
                </pic:pic>
              </a:graphicData>
            </a:graphic>
          </wp:inline>
        </w:drawing>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39749B" w:rsidRPr="0039749B" w:rsidRDefault="0039749B" w:rsidP="0039749B">
      <w:pPr>
        <w:spacing w:before="120" w:after="120" w:line="240" w:lineRule="exact"/>
        <w:ind w:left="360"/>
        <w:jc w:val="both"/>
        <w:rPr>
          <w:rFonts w:asciiTheme="minorHAnsi" w:eastAsia="Calibri" w:hAnsiTheme="minorHAnsi" w:cstheme="minorHAnsi"/>
          <w:b/>
          <w:spacing w:val="-1"/>
          <w:sz w:val="16"/>
          <w:szCs w:val="16"/>
        </w:rPr>
      </w:pPr>
      <w:r w:rsidRPr="0039749B">
        <w:rPr>
          <w:rFonts w:asciiTheme="minorHAnsi" w:hAnsiTheme="minorHAnsi" w:cstheme="minorHAnsi"/>
          <w:b/>
          <w:sz w:val="16"/>
          <w:szCs w:val="16"/>
        </w:rPr>
        <w:t>No aplica.</w:t>
      </w:r>
    </w:p>
    <w:p w:rsidR="0039749B" w:rsidRDefault="0039749B" w:rsidP="0039749B">
      <w:pPr>
        <w:spacing w:before="120" w:after="120" w:line="240" w:lineRule="exact"/>
        <w:jc w:val="both"/>
        <w:rPr>
          <w:rFonts w:ascii="Arial" w:eastAsia="Calibri" w:hAnsi="Arial" w:cs="Arial"/>
          <w:b/>
          <w:spacing w:val="-1"/>
          <w:sz w:val="17"/>
          <w:szCs w:val="17"/>
        </w:rPr>
      </w:pPr>
    </w:p>
    <w:p w:rsidR="0039749B" w:rsidRDefault="0039749B" w:rsidP="0039749B">
      <w:pPr>
        <w:spacing w:before="120" w:after="120" w:line="240" w:lineRule="exact"/>
        <w:jc w:val="both"/>
        <w:rPr>
          <w:rFonts w:ascii="Arial" w:eastAsia="Calibri" w:hAnsi="Arial" w:cs="Arial"/>
          <w:b/>
          <w:spacing w:val="-1"/>
          <w:sz w:val="17"/>
          <w:szCs w:val="17"/>
        </w:rPr>
      </w:pPr>
    </w:p>
    <w:p w:rsidR="0039749B" w:rsidRPr="0039749B" w:rsidRDefault="0039749B" w:rsidP="0039749B">
      <w:pPr>
        <w:spacing w:before="120" w:after="120" w:line="240" w:lineRule="exact"/>
        <w:jc w:val="both"/>
        <w:rPr>
          <w:rFonts w:ascii="Arial" w:eastAsia="Calibri" w:hAnsi="Arial" w:cs="Arial"/>
          <w:b/>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39749B" w:rsidRPr="00460C52" w:rsidRDefault="0039749B" w:rsidP="0039749B">
      <w:pPr>
        <w:pStyle w:val="Prrafodelista"/>
        <w:spacing w:before="120" w:after="120" w:line="240" w:lineRule="exact"/>
        <w:ind w:firstLine="360"/>
        <w:jc w:val="both"/>
        <w:rPr>
          <w:rFonts w:asciiTheme="minorHAnsi" w:eastAsia="Calibri" w:hAnsiTheme="minorHAnsi" w:cstheme="minorHAnsi"/>
          <w:b/>
          <w:spacing w:val="-1"/>
          <w:sz w:val="16"/>
          <w:szCs w:val="16"/>
        </w:rPr>
      </w:pPr>
      <w:r w:rsidRPr="00460C52">
        <w:rPr>
          <w:rFonts w:asciiTheme="minorHAnsi" w:hAnsiTheme="minorHAnsi" w:cstheme="minorHAnsi"/>
          <w:b/>
          <w:sz w:val="16"/>
          <w:szCs w:val="16"/>
        </w:rPr>
        <w:t>Se informa que el IVEQ  ha observado la normatividad emitida por el CONAC y las disposiciones legales aplicables, como es la Ley General de Contabilidad Gubernamental</w:t>
      </w:r>
    </w:p>
    <w:p w:rsidR="0039749B" w:rsidRPr="00A67440" w:rsidRDefault="0039749B" w:rsidP="0039749B">
      <w:pPr>
        <w:pStyle w:val="Prrafodelista"/>
        <w:spacing w:before="120" w:after="120" w:line="240" w:lineRule="exact"/>
        <w:ind w:left="1440"/>
        <w:jc w:val="both"/>
        <w:rPr>
          <w:rFonts w:ascii="Arial" w:eastAsia="Calibri" w:hAnsi="Arial" w:cs="Arial"/>
          <w:spacing w:val="-1"/>
          <w:sz w:val="17"/>
          <w:szCs w:val="17"/>
        </w:rPr>
      </w:pP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9749B" w:rsidRPr="0039749B" w:rsidRDefault="0039749B" w:rsidP="0039749B">
      <w:pPr>
        <w:pStyle w:val="Prrafodelista"/>
        <w:ind w:left="1080"/>
        <w:jc w:val="both"/>
        <w:rPr>
          <w:rFonts w:asciiTheme="minorHAnsi" w:hAnsiTheme="minorHAnsi" w:cstheme="minorHAnsi"/>
          <w:b/>
          <w:sz w:val="16"/>
          <w:szCs w:val="16"/>
        </w:rPr>
      </w:pPr>
      <w:r w:rsidRPr="0039749B">
        <w:rPr>
          <w:rFonts w:asciiTheme="minorHAnsi" w:hAnsiTheme="minorHAnsi" w:cstheme="minorHAnsi"/>
          <w:b/>
          <w:sz w:val="16"/>
          <w:szCs w:val="16"/>
        </w:rPr>
        <w:t>En el Instituto de la Vivienda  en sus diferentes rubros,  registra sus operaciones  a costo histórico y cuantificado en términos monetarios.  En caso  de los bienes inmuebles, como es el activo fijo, Inventarios  (reserva  territorial) e  inmuebles en comodato su registro se apega a lo establecido en el Art. 27 de la Ley General de Contabilidad Gubernamental, que a sus letras dice:</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Default="0039749B" w:rsidP="0039749B">
      <w:pPr>
        <w:pStyle w:val="Prrafodelista"/>
        <w:spacing w:before="120" w:after="120" w:line="240" w:lineRule="exact"/>
        <w:ind w:left="1080"/>
        <w:jc w:val="both"/>
        <w:rPr>
          <w:rFonts w:asciiTheme="minorHAnsi" w:hAnsiTheme="minorHAnsi" w:cstheme="minorHAnsi"/>
          <w:b/>
          <w:sz w:val="16"/>
          <w:szCs w:val="16"/>
        </w:rPr>
      </w:pPr>
      <w:r w:rsidRPr="0039749B">
        <w:rPr>
          <w:rFonts w:asciiTheme="minorHAnsi" w:hAnsiTheme="minorHAnsi" w:cstheme="minorHAnsi"/>
          <w:b/>
          <w:sz w:val="16"/>
          <w:szCs w:val="16"/>
        </w:rPr>
        <w:t>“Los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r w:rsidRPr="0039749B">
        <w:rPr>
          <w:rFonts w:asciiTheme="minorHAnsi" w:hAnsiTheme="minorHAnsi" w:cstheme="minorHAnsi"/>
          <w:b/>
          <w:sz w:val="16"/>
          <w:szCs w:val="16"/>
        </w:rPr>
        <w:tab/>
      </w:r>
    </w:p>
    <w:p w:rsidR="0039749B" w:rsidRPr="0039749B" w:rsidRDefault="0039749B" w:rsidP="0039749B">
      <w:pPr>
        <w:pStyle w:val="Prrafodelista"/>
        <w:spacing w:before="120" w:after="120" w:line="240" w:lineRule="exact"/>
        <w:ind w:left="1080"/>
        <w:jc w:val="both"/>
        <w:rPr>
          <w:rFonts w:ascii="Arial" w:eastAsia="Calibri" w:hAnsi="Arial" w:cs="Arial"/>
          <w:spacing w:val="-1"/>
          <w:sz w:val="17"/>
          <w:szCs w:val="17"/>
        </w:rPr>
      </w:pP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39749B" w:rsidRPr="00460C52" w:rsidRDefault="0039749B" w:rsidP="0039749B">
      <w:pPr>
        <w:pStyle w:val="Prrafodelista"/>
        <w:spacing w:before="120" w:after="120" w:line="240" w:lineRule="exact"/>
        <w:ind w:left="1080"/>
        <w:jc w:val="both"/>
        <w:rPr>
          <w:rFonts w:asciiTheme="minorHAnsi" w:eastAsia="Calibri" w:hAnsiTheme="minorHAnsi" w:cstheme="minorHAnsi"/>
          <w:b/>
          <w:spacing w:val="-1"/>
          <w:sz w:val="16"/>
          <w:szCs w:val="16"/>
        </w:rPr>
      </w:pPr>
      <w:r w:rsidRPr="00460C52">
        <w:rPr>
          <w:rFonts w:asciiTheme="minorHAnsi" w:hAnsiTheme="minorHAnsi" w:cstheme="minorHAnsi"/>
          <w:b/>
          <w:sz w:val="16"/>
          <w:szCs w:val="16"/>
        </w:rPr>
        <w:t>Los Postulados Básicos  aplicados  como base de  preparación de los estados financieros son: sustancia económica, entes públicos, existencia permanente, revelación suficiente, importancia relativa, registro e integración presupuestaria, devengo contable del ingreso, valuación, dualidad económica, consistencia y consolidación.</w:t>
      </w:r>
      <w:r w:rsidRPr="00460C52">
        <w:rPr>
          <w:rFonts w:asciiTheme="minorHAnsi" w:hAnsiTheme="minorHAnsi" w:cstheme="minorHAnsi"/>
          <w:b/>
          <w:sz w:val="16"/>
          <w:szCs w:val="16"/>
        </w:rPr>
        <w:tab/>
      </w:r>
    </w:p>
    <w:p w:rsidR="0039749B" w:rsidRPr="00A67440" w:rsidRDefault="0039749B" w:rsidP="0039749B">
      <w:pPr>
        <w:pStyle w:val="Prrafodelista"/>
        <w:spacing w:before="120" w:after="120" w:line="240" w:lineRule="exact"/>
        <w:ind w:left="1440"/>
        <w:jc w:val="both"/>
        <w:rPr>
          <w:rFonts w:ascii="Arial" w:eastAsia="Calibri" w:hAnsi="Arial" w:cs="Arial"/>
          <w:spacing w:val="-1"/>
          <w:sz w:val="17"/>
          <w:szCs w:val="17"/>
        </w:rPr>
      </w:pP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9749B" w:rsidRPr="0039749B" w:rsidRDefault="0039749B" w:rsidP="0039749B">
      <w:pPr>
        <w:spacing w:before="120" w:after="120" w:line="240" w:lineRule="exact"/>
        <w:ind w:left="371" w:firstLine="709"/>
        <w:jc w:val="both"/>
        <w:rPr>
          <w:rFonts w:asciiTheme="minorHAnsi" w:eastAsia="Calibri" w:hAnsiTheme="minorHAnsi" w:cstheme="minorHAnsi"/>
          <w:b/>
          <w:spacing w:val="-1"/>
          <w:sz w:val="16"/>
          <w:szCs w:val="16"/>
        </w:rPr>
      </w:pPr>
      <w:r w:rsidRPr="0039749B">
        <w:rPr>
          <w:rFonts w:asciiTheme="minorHAnsi" w:hAnsiTheme="minorHAnsi" w:cstheme="minorHAnsi"/>
          <w:b/>
          <w:sz w:val="16"/>
          <w:szCs w:val="16"/>
        </w:rPr>
        <w:t>El Instituto de la Vivienda del Estado de Querétaro no aplica normatividad supletoria.</w:t>
      </w:r>
    </w:p>
    <w:p w:rsidR="0039749B" w:rsidRPr="00A67440" w:rsidRDefault="0039749B" w:rsidP="0039749B">
      <w:pPr>
        <w:pStyle w:val="Prrafodelista"/>
        <w:spacing w:before="120" w:after="120" w:line="240" w:lineRule="exact"/>
        <w:ind w:left="1440"/>
        <w:jc w:val="both"/>
        <w:rPr>
          <w:rFonts w:ascii="Arial" w:eastAsia="Calibri" w:hAnsi="Arial" w:cs="Arial"/>
          <w:spacing w:val="-1"/>
          <w:sz w:val="17"/>
          <w:szCs w:val="17"/>
        </w:rPr>
      </w:pP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39749B" w:rsidRPr="00A67440" w:rsidRDefault="0039749B" w:rsidP="0039749B">
      <w:pPr>
        <w:pStyle w:val="Prrafodelista"/>
        <w:spacing w:before="120" w:after="120" w:line="240" w:lineRule="exact"/>
        <w:ind w:left="2160"/>
        <w:jc w:val="both"/>
        <w:rPr>
          <w:rFonts w:ascii="Arial" w:eastAsia="Calibri" w:hAnsi="Arial" w:cs="Arial"/>
          <w:spacing w:val="-1"/>
          <w:sz w:val="17"/>
          <w:szCs w:val="17"/>
        </w:rPr>
      </w:pPr>
      <w:r w:rsidRPr="00460C52">
        <w:rPr>
          <w:rFonts w:asciiTheme="minorHAnsi" w:hAnsiTheme="minorHAnsi" w:cstheme="minorHAnsi"/>
          <w:b/>
          <w:sz w:val="16"/>
          <w:szCs w:val="16"/>
        </w:rPr>
        <w:t>El Instituto de la Vivienda a partir de 2011 empezó a aplicar la base del devengado, de acuerdo a lo que establece el CONAC.</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39749B" w:rsidRPr="00A67440" w:rsidRDefault="0039749B" w:rsidP="0039749B">
      <w:pPr>
        <w:pStyle w:val="Prrafodelista"/>
        <w:spacing w:before="120" w:after="120" w:line="240" w:lineRule="exact"/>
        <w:ind w:left="2160"/>
        <w:jc w:val="both"/>
        <w:rPr>
          <w:rFonts w:ascii="Arial" w:eastAsia="Calibri" w:hAnsi="Arial" w:cs="Arial"/>
          <w:spacing w:val="-1"/>
          <w:sz w:val="17"/>
          <w:szCs w:val="17"/>
        </w:rPr>
      </w:pPr>
      <w:r w:rsidRPr="00460C52">
        <w:rPr>
          <w:rFonts w:asciiTheme="minorHAnsi" w:hAnsiTheme="minorHAnsi" w:cstheme="minorHAnsi"/>
          <w:b/>
          <w:sz w:val="16"/>
          <w:szCs w:val="16"/>
        </w:rPr>
        <w:t>Apegado a lo establecido por el CONAC</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39749B" w:rsidRPr="00A67440" w:rsidRDefault="0039749B" w:rsidP="0039749B">
      <w:pPr>
        <w:pStyle w:val="Prrafodelista"/>
        <w:spacing w:before="120" w:after="120" w:line="240" w:lineRule="exact"/>
        <w:ind w:left="2160"/>
        <w:jc w:val="both"/>
        <w:rPr>
          <w:rFonts w:ascii="Arial" w:eastAsia="Calibri" w:hAnsi="Arial" w:cs="Arial"/>
          <w:spacing w:val="-1"/>
          <w:sz w:val="17"/>
          <w:szCs w:val="17"/>
        </w:rPr>
      </w:pPr>
      <w:r w:rsidRPr="00460C52">
        <w:rPr>
          <w:rFonts w:asciiTheme="minorHAnsi" w:hAnsiTheme="minorHAnsi" w:cstheme="minorHAnsi"/>
          <w:b/>
          <w:sz w:val="16"/>
          <w:szCs w:val="16"/>
        </w:rPr>
        <w:t>El IVEQ se apega a lo establecido por el CONAC.</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39749B" w:rsidRPr="00A67440" w:rsidRDefault="0039749B" w:rsidP="0039749B">
      <w:pPr>
        <w:pStyle w:val="Prrafodelista"/>
        <w:spacing w:before="120" w:after="120" w:line="240" w:lineRule="exact"/>
        <w:ind w:left="2160"/>
        <w:jc w:val="both"/>
        <w:rPr>
          <w:rFonts w:ascii="Arial" w:eastAsia="Calibri" w:hAnsi="Arial" w:cs="Arial"/>
          <w:spacing w:val="-1"/>
          <w:sz w:val="17"/>
          <w:szCs w:val="17"/>
        </w:rPr>
      </w:pPr>
      <w:r w:rsidRPr="00460C52">
        <w:rPr>
          <w:rFonts w:asciiTheme="minorHAnsi" w:eastAsia="Calibri" w:hAnsiTheme="minorHAnsi" w:cstheme="minorHAnsi"/>
          <w:b/>
          <w:spacing w:val="-1"/>
          <w:sz w:val="16"/>
          <w:szCs w:val="16"/>
        </w:rPr>
        <w:t>El IVEQ se apega a lo establecido por el CONAC.</w:t>
      </w:r>
    </w:p>
    <w:p w:rsidR="00A67440" w:rsidRDefault="00A67440" w:rsidP="00A67440">
      <w:pPr>
        <w:spacing w:before="120" w:after="120" w:line="240" w:lineRule="exact"/>
        <w:jc w:val="both"/>
        <w:rPr>
          <w:rFonts w:ascii="Arial" w:eastAsia="Calibri" w:hAnsi="Arial" w:cs="Arial"/>
          <w:spacing w:val="-1"/>
          <w:sz w:val="17"/>
          <w:szCs w:val="17"/>
        </w:rPr>
      </w:pPr>
    </w:p>
    <w:p w:rsidR="0039749B" w:rsidRDefault="0039749B" w:rsidP="00A67440">
      <w:pPr>
        <w:spacing w:before="120" w:after="120" w:line="240" w:lineRule="exact"/>
        <w:jc w:val="both"/>
        <w:rPr>
          <w:rFonts w:ascii="Arial" w:eastAsia="Calibri" w:hAnsi="Arial" w:cs="Arial"/>
          <w:spacing w:val="-1"/>
          <w:sz w:val="17"/>
          <w:szCs w:val="17"/>
        </w:rPr>
      </w:pPr>
    </w:p>
    <w:p w:rsidR="0039749B" w:rsidRPr="00A67440" w:rsidRDefault="0039749B"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39749B" w:rsidRPr="00460C52" w:rsidRDefault="0039749B" w:rsidP="0039749B">
      <w:pPr>
        <w:pStyle w:val="Prrafodelista"/>
        <w:spacing w:before="120" w:after="120" w:line="240" w:lineRule="exact"/>
        <w:ind w:firstLine="360"/>
        <w:jc w:val="both"/>
        <w:rPr>
          <w:rFonts w:asciiTheme="minorHAnsi" w:hAnsiTheme="minorHAnsi" w:cstheme="minorHAnsi"/>
          <w:b/>
          <w:sz w:val="16"/>
          <w:szCs w:val="16"/>
        </w:rPr>
      </w:pPr>
      <w:r w:rsidRPr="00460C52">
        <w:rPr>
          <w:rFonts w:asciiTheme="minorHAnsi" w:hAnsiTheme="minorHAnsi" w:cstheme="minorHAnsi"/>
          <w:b/>
          <w:sz w:val="16"/>
          <w:szCs w:val="16"/>
        </w:rPr>
        <w:t>Inventario de la Reserva Inmobiliaria.</w:t>
      </w:r>
    </w:p>
    <w:p w:rsidR="0039749B" w:rsidRPr="0039749B" w:rsidRDefault="0039749B" w:rsidP="0039749B">
      <w:pPr>
        <w:pStyle w:val="Prrafodelista"/>
        <w:ind w:left="1080"/>
        <w:jc w:val="both"/>
        <w:rPr>
          <w:rFonts w:asciiTheme="minorHAnsi" w:hAnsiTheme="minorHAnsi" w:cstheme="minorHAnsi"/>
          <w:b/>
          <w:sz w:val="16"/>
          <w:szCs w:val="16"/>
        </w:rPr>
      </w:pPr>
      <w:r w:rsidRPr="0039749B">
        <w:rPr>
          <w:rFonts w:asciiTheme="minorHAnsi" w:hAnsiTheme="minorHAnsi" w:cstheme="minorHAnsi"/>
          <w:b/>
          <w:sz w:val="16"/>
          <w:szCs w:val="16"/>
        </w:rPr>
        <w:t xml:space="preserve">- El sistema de registro  utilizado es El sistema PERPETUO por lo que la cuenta se  mantiene actualizada en todo momento al estar integrada por las adquisiciones, ventas y gastos. El sistema de costos utilizado es el ABSORBENTE </w:t>
      </w:r>
      <w:proofErr w:type="spellStart"/>
      <w:r w:rsidRPr="0039749B">
        <w:rPr>
          <w:rFonts w:asciiTheme="minorHAnsi" w:hAnsiTheme="minorHAnsi" w:cstheme="minorHAnsi"/>
          <w:b/>
          <w:sz w:val="16"/>
          <w:szCs w:val="16"/>
        </w:rPr>
        <w:t>ó</w:t>
      </w:r>
      <w:proofErr w:type="spellEnd"/>
      <w:r w:rsidRPr="0039749B">
        <w:rPr>
          <w:rFonts w:asciiTheme="minorHAnsi" w:hAnsiTheme="minorHAnsi" w:cstheme="minorHAnsi"/>
          <w:b/>
          <w:sz w:val="16"/>
          <w:szCs w:val="16"/>
        </w:rPr>
        <w:t xml:space="preserve"> HISTÓRICO que es el que está integrado con todas aquellas partidas erogadas y devengadas, directa e indirectamente, es decir, la cuenta de inventarios absorbe todos los costos y gastos en que se incurre. El método de valuación es por medio de costos IDENTIFICADOS. Cada Inventario puede ser directamente identificado con una compra específica.</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39749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39749B">
      <w:pPr>
        <w:pStyle w:val="Prrafodelista"/>
        <w:ind w:left="1080" w:firstLine="30"/>
        <w:jc w:val="both"/>
        <w:rPr>
          <w:rFonts w:asciiTheme="minorHAnsi" w:hAnsiTheme="minorHAnsi" w:cstheme="minorHAnsi"/>
          <w:b/>
          <w:sz w:val="16"/>
          <w:szCs w:val="16"/>
        </w:rPr>
      </w:pPr>
      <w:r w:rsidRPr="0039749B">
        <w:rPr>
          <w:rFonts w:asciiTheme="minorHAnsi" w:hAnsiTheme="minorHAnsi" w:cstheme="minorHAnsi"/>
          <w:b/>
          <w:sz w:val="16"/>
          <w:szCs w:val="16"/>
        </w:rPr>
        <w:t>- Los inventarios de la reserva inmobiliaria   para efectos de tener una revelación razonable, se  registran a valor catastral  en apego  a lo establecido  en el Art. 27 de la Ley General de Contabilidad Gubernamental,   mediante  avalúos efectuados por peritos en la materia o tablas catastrales.</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39749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39749B">
      <w:pPr>
        <w:pStyle w:val="Prrafodelista"/>
        <w:ind w:left="1080" w:firstLine="45"/>
        <w:jc w:val="both"/>
        <w:rPr>
          <w:rFonts w:asciiTheme="minorHAnsi" w:hAnsiTheme="minorHAnsi" w:cstheme="minorHAnsi"/>
          <w:b/>
          <w:sz w:val="16"/>
          <w:szCs w:val="16"/>
        </w:rPr>
      </w:pPr>
      <w:r w:rsidRPr="0039749B">
        <w:rPr>
          <w:rFonts w:asciiTheme="minorHAnsi" w:hAnsiTheme="minorHAnsi" w:cstheme="minorHAnsi"/>
          <w:b/>
          <w:sz w:val="16"/>
          <w:szCs w:val="16"/>
        </w:rPr>
        <w:t>- Todos aquellos inmuebles que formen parte de los Inventarios de la Reserva Inmobiliaria de la entidad y que se encuentren en el supuesto del Artículo 7 de la Ley para la Regularización de Asentamientos Humanos para el Estado de Querétaro, se procedió a realizar la baja contable y su control se llevará en cuentas de orden, hasta en tanto los posesionarios los reciban en propiedad, no dando lugar esta  operación a la generación de cuentas por cobrar.</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39749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 El saldo de esta cuenta es de naturaleza deudora.</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39749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Se carga:</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Por todos aquellas adquisiciones de bienes inmuebles, por obra civil, costos y gastos indirectos</w:t>
      </w:r>
      <w:r w:rsidRPr="0039749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Por el revalúo proveniente de los valores catastrales.</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A952DB" w:rsidRDefault="0039749B" w:rsidP="00A952DB">
      <w:pPr>
        <w:ind w:left="720" w:firstLine="360"/>
        <w:jc w:val="both"/>
        <w:rPr>
          <w:rFonts w:asciiTheme="minorHAnsi" w:hAnsiTheme="minorHAnsi" w:cstheme="minorHAnsi"/>
          <w:b/>
          <w:sz w:val="16"/>
          <w:szCs w:val="16"/>
        </w:rPr>
      </w:pPr>
      <w:r w:rsidRPr="00A952DB">
        <w:rPr>
          <w:rFonts w:asciiTheme="minorHAnsi" w:hAnsiTheme="minorHAnsi" w:cstheme="minorHAnsi"/>
          <w:b/>
          <w:sz w:val="16"/>
          <w:szCs w:val="16"/>
        </w:rPr>
        <w:t>Se abona:</w:t>
      </w:r>
      <w:r w:rsidRPr="00A952DB">
        <w:rPr>
          <w:rFonts w:asciiTheme="minorHAnsi" w:hAnsiTheme="minorHAnsi" w:cstheme="minorHAnsi"/>
          <w:b/>
          <w:sz w:val="16"/>
          <w:szCs w:val="16"/>
        </w:rPr>
        <w:tab/>
      </w:r>
      <w:r w:rsidRPr="00A952DB">
        <w:rPr>
          <w:rFonts w:asciiTheme="minorHAnsi" w:hAnsiTheme="minorHAnsi" w:cstheme="minorHAnsi"/>
          <w:b/>
          <w:sz w:val="16"/>
          <w:szCs w:val="16"/>
        </w:rPr>
        <w:tab/>
      </w:r>
      <w:r w:rsidRPr="00A952D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Por la baja de los bienes inmuebles (Reserva Territorial)</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Por la cancelación del revalúo por la baja de bienes inmuebles</w:t>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A952DB" w:rsidRDefault="0039749B" w:rsidP="00A952DB">
      <w:pPr>
        <w:pStyle w:val="Prrafodelista"/>
        <w:ind w:left="1080"/>
        <w:jc w:val="both"/>
        <w:rPr>
          <w:rFonts w:asciiTheme="minorHAnsi" w:hAnsiTheme="minorHAnsi" w:cstheme="minorHAnsi"/>
          <w:b/>
          <w:sz w:val="16"/>
          <w:szCs w:val="16"/>
        </w:rPr>
      </w:pPr>
      <w:r w:rsidRPr="0039749B">
        <w:rPr>
          <w:rFonts w:asciiTheme="minorHAnsi" w:hAnsiTheme="minorHAnsi" w:cstheme="minorHAnsi"/>
          <w:b/>
          <w:sz w:val="16"/>
          <w:szCs w:val="16"/>
        </w:rPr>
        <w:t>Toda vez que la Ley General de Contabilidad Gubernamental no contempla como parte de los Inventarios a los bienes inmuebles, el Instituto de la Vivienda del Estado de Querétaro hizo la adaptación de la descripción según el plan de cuentas emitido por el CONAC para su aplicación en la reserva territorial de su propiedad, c</w:t>
      </w:r>
      <w:r w:rsidR="00A952DB">
        <w:rPr>
          <w:rFonts w:asciiTheme="minorHAnsi" w:hAnsiTheme="minorHAnsi" w:cstheme="minorHAnsi"/>
          <w:b/>
          <w:sz w:val="16"/>
          <w:szCs w:val="16"/>
        </w:rPr>
        <w:t xml:space="preserve">omo a continuación  se </w:t>
      </w:r>
      <w:proofErr w:type="spellStart"/>
      <w:r w:rsidR="00A952DB">
        <w:rPr>
          <w:rFonts w:asciiTheme="minorHAnsi" w:hAnsiTheme="minorHAnsi" w:cstheme="minorHAnsi"/>
          <w:b/>
          <w:sz w:val="16"/>
          <w:szCs w:val="16"/>
        </w:rPr>
        <w:t>mencion</w:t>
      </w:r>
      <w:proofErr w:type="spellEnd"/>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39749B">
        <w:rPr>
          <w:rFonts w:asciiTheme="minorHAnsi" w:hAnsiTheme="minorHAnsi" w:cstheme="minorHAnsi"/>
          <w:b/>
          <w:sz w:val="16"/>
          <w:szCs w:val="16"/>
        </w:rPr>
        <w:tab/>
      </w:r>
      <w:r w:rsidRPr="00A952D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No. Cuenta</w:t>
      </w:r>
      <w:r w:rsidRPr="0039749B">
        <w:rPr>
          <w:rFonts w:asciiTheme="minorHAnsi" w:hAnsiTheme="minorHAnsi" w:cstheme="minorHAnsi"/>
          <w:b/>
          <w:sz w:val="16"/>
          <w:szCs w:val="16"/>
        </w:rPr>
        <w:tab/>
        <w:t>Concepto</w:t>
      </w:r>
      <w:r w:rsidRPr="0039749B">
        <w:rPr>
          <w:rFonts w:asciiTheme="minorHAnsi" w:hAnsiTheme="minorHAnsi" w:cstheme="minorHAnsi"/>
          <w:b/>
          <w:sz w:val="16"/>
          <w:szCs w:val="16"/>
        </w:rPr>
        <w:tab/>
        <w:t>Descripción</w:t>
      </w:r>
      <w:r w:rsidRPr="0039749B">
        <w:rPr>
          <w:rFonts w:asciiTheme="minorHAnsi" w:hAnsiTheme="minorHAnsi" w:cstheme="minorHAnsi"/>
          <w:b/>
          <w:sz w:val="16"/>
          <w:szCs w:val="16"/>
        </w:rPr>
        <w:tab/>
      </w:r>
    </w:p>
    <w:p w:rsidR="0039749B" w:rsidRPr="0039749B" w:rsidRDefault="0039749B" w:rsidP="00A952D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1.1.4.0.0</w:t>
      </w:r>
      <w:r w:rsidRPr="0039749B">
        <w:rPr>
          <w:rFonts w:asciiTheme="minorHAnsi" w:hAnsiTheme="minorHAnsi" w:cstheme="minorHAnsi"/>
          <w:b/>
          <w:sz w:val="16"/>
          <w:szCs w:val="16"/>
        </w:rPr>
        <w:tab/>
        <w:t>INVENTARIOS</w:t>
      </w:r>
      <w:r w:rsidRPr="0039749B">
        <w:rPr>
          <w:rFonts w:asciiTheme="minorHAnsi" w:hAnsiTheme="minorHAnsi" w:cstheme="minorHAnsi"/>
          <w:b/>
          <w:sz w:val="16"/>
          <w:szCs w:val="16"/>
        </w:rPr>
        <w:tab/>
        <w:t>Representa  el monto de  la Reserva Territorial  propiedad de la entidad.</w:t>
      </w:r>
      <w:r w:rsidRPr="0039749B">
        <w:rPr>
          <w:rFonts w:asciiTheme="minorHAnsi" w:hAnsiTheme="minorHAnsi" w:cstheme="minorHAnsi"/>
          <w:b/>
          <w:sz w:val="16"/>
          <w:szCs w:val="16"/>
        </w:rPr>
        <w:tab/>
      </w:r>
    </w:p>
    <w:p w:rsidR="0039749B" w:rsidRPr="0039749B" w:rsidRDefault="0039749B" w:rsidP="00A952DB">
      <w:pPr>
        <w:pStyle w:val="Prrafodelista"/>
        <w:ind w:firstLine="360"/>
        <w:jc w:val="both"/>
        <w:rPr>
          <w:rFonts w:asciiTheme="minorHAnsi" w:hAnsiTheme="minorHAnsi" w:cstheme="minorHAnsi"/>
          <w:b/>
          <w:sz w:val="16"/>
          <w:szCs w:val="16"/>
        </w:rPr>
      </w:pPr>
      <w:r w:rsidRPr="0039749B">
        <w:rPr>
          <w:rFonts w:asciiTheme="minorHAnsi" w:hAnsiTheme="minorHAnsi" w:cstheme="minorHAnsi"/>
          <w:b/>
          <w:sz w:val="16"/>
          <w:szCs w:val="16"/>
        </w:rPr>
        <w:t>1.1.4.1.0</w:t>
      </w:r>
      <w:r w:rsidRPr="0039749B">
        <w:rPr>
          <w:rFonts w:asciiTheme="minorHAnsi" w:hAnsiTheme="minorHAnsi" w:cstheme="minorHAnsi"/>
          <w:b/>
          <w:sz w:val="16"/>
          <w:szCs w:val="16"/>
        </w:rPr>
        <w:tab/>
        <w:t>INVENTARIOS DE MERCANCIAS PARA VENTA</w:t>
      </w: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Pr="0039749B" w:rsidRDefault="0039749B" w:rsidP="00A952DB">
      <w:pPr>
        <w:pStyle w:val="Prrafodelista"/>
        <w:ind w:left="1080"/>
        <w:jc w:val="both"/>
        <w:rPr>
          <w:rFonts w:asciiTheme="minorHAnsi" w:hAnsiTheme="minorHAnsi" w:cstheme="minorHAnsi"/>
          <w:b/>
          <w:sz w:val="16"/>
          <w:szCs w:val="16"/>
        </w:rPr>
      </w:pPr>
      <w:r w:rsidRPr="0039749B">
        <w:rPr>
          <w:rFonts w:asciiTheme="minorHAnsi" w:hAnsiTheme="minorHAnsi" w:cstheme="minorHAnsi"/>
          <w:b/>
          <w:sz w:val="16"/>
          <w:szCs w:val="16"/>
        </w:rPr>
        <w:t>1.1.4.1.1 0000 0000</w:t>
      </w:r>
      <w:r w:rsidRPr="0039749B">
        <w:rPr>
          <w:rFonts w:asciiTheme="minorHAnsi" w:hAnsiTheme="minorHAnsi" w:cstheme="minorHAnsi"/>
          <w:b/>
          <w:sz w:val="16"/>
          <w:szCs w:val="16"/>
        </w:rPr>
        <w:tab/>
        <w:t>Otros Productos y  Mercancías Terminadas (Reserva Territorial Disponible)</w:t>
      </w:r>
      <w:r w:rsidRPr="0039749B">
        <w:rPr>
          <w:rFonts w:asciiTheme="minorHAnsi" w:hAnsiTheme="minorHAnsi" w:cstheme="minorHAnsi"/>
          <w:b/>
          <w:sz w:val="16"/>
          <w:szCs w:val="16"/>
        </w:rPr>
        <w:tab/>
        <w:t xml:space="preserve"> Representa  el monto de  la reserva territorial  disponibles para su enajenación, bajo cualquiera que sea su forma (permuta, venta, donación, etc.). Se Incluyen costo de obras de infraestructura, urbanización, gastos indirectos, etc., así como su revaluación. </w:t>
      </w:r>
      <w:r w:rsidRPr="0039749B">
        <w:rPr>
          <w:rFonts w:asciiTheme="minorHAnsi" w:hAnsiTheme="minorHAnsi" w:cstheme="minorHAnsi"/>
          <w:b/>
          <w:sz w:val="16"/>
          <w:szCs w:val="16"/>
        </w:rPr>
        <w:tab/>
      </w:r>
    </w:p>
    <w:p w:rsidR="0039749B" w:rsidRPr="0039749B" w:rsidRDefault="0039749B" w:rsidP="00A952DB">
      <w:pPr>
        <w:pStyle w:val="Prrafodelista"/>
        <w:jc w:val="both"/>
        <w:rPr>
          <w:rFonts w:asciiTheme="minorHAnsi" w:hAnsiTheme="minorHAnsi" w:cstheme="minorHAnsi"/>
          <w:b/>
          <w:sz w:val="16"/>
          <w:szCs w:val="16"/>
        </w:rPr>
      </w:pPr>
      <w:r w:rsidRPr="0039749B">
        <w:rPr>
          <w:rFonts w:asciiTheme="minorHAnsi" w:hAnsiTheme="minorHAnsi" w:cstheme="minorHAnsi"/>
          <w:b/>
          <w:sz w:val="16"/>
          <w:szCs w:val="16"/>
        </w:rPr>
        <w:tab/>
      </w:r>
      <w:r w:rsidRPr="0039749B">
        <w:rPr>
          <w:rFonts w:asciiTheme="minorHAnsi" w:hAnsiTheme="minorHAnsi" w:cstheme="minorHAnsi"/>
          <w:b/>
          <w:sz w:val="16"/>
          <w:szCs w:val="16"/>
        </w:rPr>
        <w:tab/>
      </w:r>
    </w:p>
    <w:p w:rsidR="0039749B" w:rsidRDefault="0039749B" w:rsidP="00A952DB">
      <w:pPr>
        <w:pStyle w:val="Prrafodelista"/>
        <w:spacing w:before="120" w:after="120" w:line="240" w:lineRule="exact"/>
        <w:ind w:left="1080"/>
        <w:jc w:val="both"/>
        <w:rPr>
          <w:rFonts w:asciiTheme="minorHAnsi" w:hAnsiTheme="minorHAnsi" w:cstheme="minorHAnsi"/>
          <w:b/>
          <w:sz w:val="16"/>
          <w:szCs w:val="16"/>
        </w:rPr>
      </w:pPr>
      <w:r w:rsidRPr="00460C52">
        <w:rPr>
          <w:rFonts w:asciiTheme="minorHAnsi" w:hAnsiTheme="minorHAnsi" w:cstheme="minorHAnsi"/>
          <w:b/>
          <w:sz w:val="16"/>
          <w:szCs w:val="16"/>
        </w:rPr>
        <w:t>1.1.4.1.1 0000 1000</w:t>
      </w:r>
      <w:r w:rsidRPr="00460C52">
        <w:rPr>
          <w:rFonts w:asciiTheme="minorHAnsi" w:hAnsiTheme="minorHAnsi" w:cstheme="minorHAnsi"/>
          <w:b/>
          <w:sz w:val="16"/>
          <w:szCs w:val="16"/>
        </w:rPr>
        <w:tab/>
        <w:t>Otros Productos y Mercancías (Reserva Territorial No Disponible)</w:t>
      </w:r>
      <w:r w:rsidRPr="00460C52">
        <w:rPr>
          <w:rFonts w:asciiTheme="minorHAnsi" w:hAnsiTheme="minorHAnsi" w:cstheme="minorHAnsi"/>
          <w:b/>
          <w:sz w:val="16"/>
          <w:szCs w:val="16"/>
        </w:rPr>
        <w:tab/>
        <w:t>Representa  el monto de la reserva territorial  que no están d</w:t>
      </w:r>
      <w:r w:rsidR="00A952DB">
        <w:rPr>
          <w:rFonts w:asciiTheme="minorHAnsi" w:hAnsiTheme="minorHAnsi" w:cstheme="minorHAnsi"/>
          <w:b/>
          <w:sz w:val="16"/>
          <w:szCs w:val="16"/>
        </w:rPr>
        <w:t xml:space="preserve">isponibles para su </w:t>
      </w:r>
      <w:r w:rsidRPr="00460C52">
        <w:rPr>
          <w:rFonts w:asciiTheme="minorHAnsi" w:hAnsiTheme="minorHAnsi" w:cstheme="minorHAnsi"/>
          <w:b/>
          <w:sz w:val="16"/>
          <w:szCs w:val="16"/>
        </w:rPr>
        <w:t>venta, por estar en algún  proceso de entrega o trasmisión Municipal. Se Incluyen costo de obras de infraestructura, urbanización, gastos indirectos, etc., así como su revaluación.</w:t>
      </w:r>
    </w:p>
    <w:p w:rsidR="00A952DB" w:rsidRPr="00A67440" w:rsidRDefault="00A952DB" w:rsidP="00A952DB">
      <w:pPr>
        <w:pStyle w:val="Prrafodelista"/>
        <w:spacing w:before="120" w:after="120" w:line="240" w:lineRule="exact"/>
        <w:ind w:left="1080"/>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952DB" w:rsidRPr="00A952DB" w:rsidRDefault="00A952DB" w:rsidP="00A952DB">
      <w:pPr>
        <w:spacing w:before="120" w:after="120" w:line="240" w:lineRule="exact"/>
        <w:ind w:left="1080"/>
        <w:jc w:val="both"/>
        <w:rPr>
          <w:rFonts w:ascii="Arial" w:eastAsia="Calibri" w:hAnsi="Arial" w:cs="Arial"/>
          <w:b/>
          <w:spacing w:val="-1"/>
          <w:sz w:val="17"/>
          <w:szCs w:val="17"/>
        </w:rPr>
      </w:pPr>
      <w:r>
        <w:rPr>
          <w:rFonts w:ascii="Arial" w:eastAsia="Calibri" w:hAnsi="Arial" w:cs="Arial"/>
          <w:b/>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Método de valuación de la inversión en acciones de Compañías subsidiarias no consolidadas y asociadas.</w:t>
      </w:r>
    </w:p>
    <w:p w:rsidR="00A952DB" w:rsidRPr="00A952DB" w:rsidRDefault="00A952DB" w:rsidP="00A952DB">
      <w:pPr>
        <w:spacing w:before="120" w:after="120" w:line="240" w:lineRule="exact"/>
        <w:ind w:left="1080"/>
        <w:jc w:val="both"/>
        <w:rPr>
          <w:rFonts w:ascii="Arial" w:eastAsia="Calibri" w:hAnsi="Arial" w:cs="Arial"/>
          <w:b/>
          <w:spacing w:val="-1"/>
          <w:sz w:val="17"/>
          <w:szCs w:val="17"/>
        </w:rPr>
      </w:pPr>
      <w:r w:rsidRPr="00A952DB">
        <w:rPr>
          <w:rFonts w:ascii="Arial" w:eastAsia="Calibri" w:hAnsi="Arial" w:cs="Arial"/>
          <w:b/>
          <w:spacing w:val="-1"/>
          <w:sz w:val="17"/>
          <w:szCs w:val="17"/>
        </w:rPr>
        <w:t>NO APLICA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952DB" w:rsidRDefault="00A952DB" w:rsidP="00A952DB">
      <w:pPr>
        <w:spacing w:before="120" w:after="120" w:line="240" w:lineRule="exact"/>
        <w:ind w:left="1080"/>
        <w:jc w:val="both"/>
        <w:rPr>
          <w:rFonts w:asciiTheme="minorHAnsi" w:hAnsiTheme="minorHAnsi" w:cstheme="minorHAnsi"/>
          <w:b/>
          <w:sz w:val="16"/>
          <w:szCs w:val="16"/>
        </w:rPr>
      </w:pPr>
      <w:r w:rsidRPr="00A952DB">
        <w:rPr>
          <w:rFonts w:asciiTheme="minorHAnsi" w:hAnsiTheme="minorHAnsi" w:cstheme="minorHAnsi"/>
          <w:b/>
          <w:sz w:val="16"/>
          <w:szCs w:val="16"/>
        </w:rPr>
        <w:t>- El Instituto de la Vivienda del Estado de Querétaro cuenta con un Inventario Inmobiliario, mismo que se encuentra constituido por  una  Reserva Territorial propiedad de la Entidad,  destinadas para su enajenación.</w:t>
      </w:r>
    </w:p>
    <w:p w:rsidR="00A952DB" w:rsidRDefault="00A952DB" w:rsidP="00A952DB">
      <w:pPr>
        <w:spacing w:before="120" w:after="120" w:line="240" w:lineRule="exact"/>
        <w:ind w:left="1080"/>
        <w:jc w:val="both"/>
        <w:rPr>
          <w:rFonts w:asciiTheme="minorHAnsi" w:hAnsiTheme="minorHAnsi" w:cstheme="minorHAnsi"/>
          <w:b/>
          <w:sz w:val="16"/>
          <w:szCs w:val="16"/>
        </w:rPr>
      </w:pPr>
      <w:r w:rsidRPr="00460C52">
        <w:rPr>
          <w:rFonts w:asciiTheme="minorHAnsi" w:hAnsiTheme="minorHAnsi" w:cstheme="minorHAnsi"/>
          <w:b/>
          <w:sz w:val="16"/>
          <w:szCs w:val="16"/>
        </w:rPr>
        <w:t xml:space="preserve">  - El sistema de registro  de inventarios utilizado es el sistema PERPETUO por lo que la cuenta se  mantiene actualizada en todo momento al estar integrada por las adquisiciones, ventas y gastos. El sistema de costos utilizado es El ABSORBENTE o HISTÓRICO que es El que está integrado con todas aquellas partidas erogadas y devengadas, directa e indirectamente, es decir, la cuenta de inventarios absorbe todos los costos y gastos en que se incurre. El método de valuación es por medio de costos IDENTIFICADOS. Cada Inventario puede ser directamente identificado con una compra específica.</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952DB" w:rsidRPr="00A952DB" w:rsidRDefault="00A952DB" w:rsidP="00A952DB">
      <w:pPr>
        <w:spacing w:before="120" w:after="120" w:line="240" w:lineRule="exact"/>
        <w:ind w:left="1080"/>
        <w:jc w:val="both"/>
        <w:rPr>
          <w:rFonts w:ascii="Arial" w:eastAsia="Calibri" w:hAnsi="Arial" w:cs="Arial"/>
          <w:spacing w:val="-1"/>
          <w:sz w:val="17"/>
          <w:szCs w:val="17"/>
        </w:rPr>
      </w:pPr>
      <w:r w:rsidRPr="00460C52">
        <w:rPr>
          <w:rFonts w:asciiTheme="minorHAnsi" w:hAnsiTheme="minorHAnsi" w:cstheme="minorHAnsi"/>
          <w:b/>
          <w:sz w:val="16"/>
          <w:szCs w:val="16"/>
        </w:rPr>
        <w:t>El monto del pasivo por obligaciones laborales a largo plazo es depurado y analizado por la  entidad en forma semestral. La Prima de Antigüedad e Indemnizaciones  son determinadas en base a lo establecido en la Ley de los Trabajadores del Estado de Querétaro y sus convenios laborales.</w:t>
      </w:r>
    </w:p>
    <w:p w:rsidR="00A952DB" w:rsidRPr="00A67440" w:rsidRDefault="00A952DB" w:rsidP="00A952DB">
      <w:pPr>
        <w:pStyle w:val="Prrafodelista"/>
        <w:spacing w:before="120" w:after="120" w:line="240" w:lineRule="exact"/>
        <w:ind w:left="1440"/>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952DB" w:rsidRPr="00A952DB" w:rsidRDefault="00A952DB" w:rsidP="00A952DB">
      <w:pPr>
        <w:spacing w:before="120" w:after="120" w:line="240" w:lineRule="exact"/>
        <w:ind w:left="1080"/>
        <w:jc w:val="both"/>
        <w:rPr>
          <w:rFonts w:ascii="Arial" w:eastAsia="Calibri" w:hAnsi="Arial" w:cs="Arial"/>
          <w:b/>
          <w:spacing w:val="-1"/>
          <w:sz w:val="17"/>
          <w:szCs w:val="17"/>
        </w:rPr>
      </w:pPr>
      <w:r w:rsidRPr="00A952DB">
        <w:rPr>
          <w:rFonts w:ascii="Arial" w:eastAsia="Calibri" w:hAnsi="Arial" w:cs="Arial"/>
          <w:b/>
          <w:spacing w:val="-1"/>
          <w:sz w:val="17"/>
          <w:szCs w:val="17"/>
        </w:rPr>
        <w:t>El IVEQ, dentro de sus políticas de administración, considera la provisión de Antigüedad, Pensiones y Jubilaciones tomando en cuenta la plantilla de personal vigente en cada ejercicio, y la antigüedad de los mismos, determinando el monto que les correspondería en caso de retiro, o despido, cabe mencionar que no se tiene un estudio actuarial para dichas provisiones.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952DB" w:rsidRDefault="00A952DB" w:rsidP="00A952DB">
      <w:pPr>
        <w:pStyle w:val="Prrafodelista"/>
        <w:ind w:left="1080"/>
        <w:jc w:val="both"/>
        <w:rPr>
          <w:rFonts w:asciiTheme="minorHAnsi" w:hAnsiTheme="minorHAnsi" w:cstheme="minorHAnsi"/>
          <w:b/>
          <w:sz w:val="16"/>
          <w:szCs w:val="16"/>
        </w:rPr>
      </w:pPr>
      <w:r w:rsidRPr="00A952DB">
        <w:rPr>
          <w:rFonts w:asciiTheme="minorHAnsi" w:hAnsiTheme="minorHAnsi" w:cstheme="minorHAnsi"/>
          <w:b/>
          <w:sz w:val="16"/>
          <w:szCs w:val="16"/>
        </w:rPr>
        <w:t>El IVEQ  dentro de sus política de vivienda  es apoyar a personas de escasos recursos,  otorgando en algunos casos  financiamiento para la adquisición de una vivienda, mismos que por sus condiciones económicas incumplen en sus compromisos con ésta entidad, generándose una  morosidad importante en la  cartera de clientes, en este sentido  se dio la necesidad de  crear una reserva  para cuentas incobrables.</w:t>
      </w:r>
      <w:r w:rsidRPr="00A952DB">
        <w:rPr>
          <w:rFonts w:asciiTheme="minorHAnsi" w:hAnsiTheme="minorHAnsi" w:cstheme="minorHAnsi"/>
          <w:b/>
          <w:sz w:val="16"/>
          <w:szCs w:val="16"/>
        </w:rPr>
        <w:tab/>
      </w:r>
      <w:r w:rsidRPr="00A952DB">
        <w:rPr>
          <w:rFonts w:asciiTheme="minorHAnsi" w:hAnsiTheme="minorHAnsi" w:cstheme="minorHAnsi"/>
          <w:b/>
          <w:sz w:val="16"/>
          <w:szCs w:val="16"/>
        </w:rPr>
        <w:tab/>
      </w:r>
      <w:r w:rsidRPr="00A952DB">
        <w:rPr>
          <w:rFonts w:asciiTheme="minorHAnsi" w:hAnsiTheme="minorHAnsi" w:cstheme="minorHAnsi"/>
          <w:b/>
          <w:sz w:val="16"/>
          <w:szCs w:val="16"/>
        </w:rPr>
        <w:tab/>
      </w:r>
    </w:p>
    <w:p w:rsidR="00A952DB" w:rsidRPr="00A952DB" w:rsidRDefault="00A952DB" w:rsidP="00A952DB">
      <w:pPr>
        <w:pStyle w:val="Prrafodelista"/>
        <w:ind w:left="1080"/>
        <w:jc w:val="both"/>
        <w:rPr>
          <w:rFonts w:asciiTheme="minorHAnsi" w:hAnsiTheme="minorHAnsi" w:cstheme="minorHAnsi"/>
          <w:b/>
          <w:sz w:val="16"/>
          <w:szCs w:val="16"/>
        </w:rPr>
      </w:pPr>
    </w:p>
    <w:p w:rsidR="00A952DB" w:rsidRPr="00A952DB" w:rsidRDefault="00A952DB" w:rsidP="00A952DB">
      <w:pPr>
        <w:pStyle w:val="Prrafodelista"/>
        <w:ind w:firstLine="360"/>
        <w:jc w:val="both"/>
        <w:rPr>
          <w:rFonts w:asciiTheme="minorHAnsi" w:hAnsiTheme="minorHAnsi" w:cstheme="minorHAnsi"/>
          <w:b/>
          <w:sz w:val="16"/>
          <w:szCs w:val="16"/>
        </w:rPr>
      </w:pPr>
      <w:r w:rsidRPr="00A952DB">
        <w:rPr>
          <w:rFonts w:asciiTheme="minorHAnsi" w:hAnsiTheme="minorHAnsi" w:cstheme="minorHAnsi"/>
          <w:b/>
          <w:sz w:val="16"/>
          <w:szCs w:val="16"/>
        </w:rPr>
        <w:t>A continuación se informa sobre las políticas para determinar la Estimación de Cuentas Incobrables y procedimiento para su registro contable:</w:t>
      </w:r>
    </w:p>
    <w:p w:rsidR="00A952DB" w:rsidRDefault="00A952DB" w:rsidP="00A952DB">
      <w:pPr>
        <w:pStyle w:val="Prrafodelista"/>
        <w:spacing w:before="120" w:after="120" w:line="240" w:lineRule="exact"/>
        <w:jc w:val="both"/>
        <w:rPr>
          <w:rFonts w:asciiTheme="minorHAnsi" w:hAnsiTheme="minorHAnsi" w:cstheme="minorHAnsi"/>
          <w:b/>
          <w:sz w:val="16"/>
          <w:szCs w:val="16"/>
        </w:rPr>
      </w:pPr>
    </w:p>
    <w:p w:rsidR="00A952DB" w:rsidRPr="00460C52" w:rsidRDefault="00A952DB" w:rsidP="00A952DB">
      <w:pPr>
        <w:pStyle w:val="Prrafodelista"/>
        <w:spacing w:before="120" w:after="120" w:line="240" w:lineRule="exact"/>
        <w:ind w:left="1080"/>
        <w:jc w:val="both"/>
        <w:rPr>
          <w:rFonts w:asciiTheme="minorHAnsi" w:eastAsia="Calibri" w:hAnsiTheme="minorHAnsi" w:cstheme="minorHAnsi"/>
          <w:b/>
          <w:spacing w:val="-1"/>
          <w:sz w:val="16"/>
          <w:szCs w:val="16"/>
        </w:rPr>
      </w:pPr>
      <w:r w:rsidRPr="00460C52">
        <w:rPr>
          <w:rFonts w:asciiTheme="minorHAnsi" w:hAnsiTheme="minorHAnsi" w:cstheme="minorHAnsi"/>
          <w:b/>
          <w:sz w:val="16"/>
          <w:szCs w:val="16"/>
        </w:rPr>
        <w:t>El registro en la estimación para cuentas incobrables por cobrar se realiza de acuerdo  a los periodos de vencimiento que se señalen en el instrumento jurídico que dé origen a la cuenta por cobrar y se va provisionando la parte vencida de acuerdo a las fechas señaladas, dicho vencimiento se clasifica en los periodos de más de 30 días, más de 60 días, más de 90 días y más de 120 días.</w:t>
      </w:r>
      <w:r w:rsidRPr="00460C52">
        <w:rPr>
          <w:rFonts w:asciiTheme="minorHAnsi" w:hAnsiTheme="minorHAnsi" w:cstheme="minorHAnsi"/>
          <w:b/>
          <w:sz w:val="16"/>
          <w:szCs w:val="16"/>
        </w:rPr>
        <w:tab/>
      </w:r>
    </w:p>
    <w:p w:rsidR="00A952DB" w:rsidRPr="00460C52" w:rsidRDefault="00A952DB" w:rsidP="00A952DB">
      <w:pPr>
        <w:pStyle w:val="Prrafodelista"/>
        <w:spacing w:before="120" w:after="120" w:line="240" w:lineRule="exact"/>
        <w:jc w:val="both"/>
        <w:rPr>
          <w:rFonts w:asciiTheme="minorHAnsi" w:eastAsia="Calibri" w:hAnsiTheme="minorHAnsi" w:cstheme="minorHAnsi"/>
          <w:b/>
          <w:spacing w:val="-1"/>
          <w:sz w:val="16"/>
          <w:szCs w:val="16"/>
        </w:rPr>
      </w:pPr>
    </w:p>
    <w:p w:rsidR="00A952DB" w:rsidRPr="00A952DB" w:rsidRDefault="00A952DB" w:rsidP="00A952DB">
      <w:pPr>
        <w:pStyle w:val="Prrafodelista"/>
        <w:ind w:left="1080"/>
        <w:jc w:val="both"/>
        <w:rPr>
          <w:rFonts w:asciiTheme="minorHAnsi" w:hAnsiTheme="minorHAnsi" w:cstheme="minorHAnsi"/>
          <w:b/>
          <w:sz w:val="16"/>
          <w:szCs w:val="16"/>
        </w:rPr>
      </w:pPr>
      <w:r w:rsidRPr="00A952DB">
        <w:rPr>
          <w:rFonts w:asciiTheme="minorHAnsi" w:hAnsiTheme="minorHAnsi" w:cstheme="minorHAnsi"/>
          <w:b/>
          <w:sz w:val="16"/>
          <w:szCs w:val="16"/>
        </w:rPr>
        <w:t>Cada año, en el mes de enero  se actualiza la estimación para cuentas incobrables de acuerdo al nuevo monto del salario mínimo vigente para el Estado de Querétaro hasta el mes de Mayo de 2016 y a partir de Junio de 2016, se utiliza el Factor de la Unidad de Medida y Actualización (UMA), o cuando se publique un cambio a dicho factor.</w:t>
      </w:r>
      <w:r w:rsidRPr="00A952DB">
        <w:rPr>
          <w:rFonts w:asciiTheme="minorHAnsi" w:hAnsiTheme="minorHAnsi" w:cstheme="minorHAnsi"/>
          <w:b/>
          <w:sz w:val="16"/>
          <w:szCs w:val="16"/>
        </w:rPr>
        <w:tab/>
      </w:r>
    </w:p>
    <w:p w:rsidR="00A952DB" w:rsidRPr="00A952DB" w:rsidRDefault="00A952DB" w:rsidP="00A952DB">
      <w:pPr>
        <w:jc w:val="both"/>
        <w:rPr>
          <w:rFonts w:asciiTheme="minorHAnsi" w:hAnsiTheme="minorHAnsi" w:cstheme="minorHAnsi"/>
          <w:sz w:val="16"/>
          <w:szCs w:val="16"/>
        </w:rPr>
      </w:pPr>
      <w:r w:rsidRPr="00A952DB">
        <w:rPr>
          <w:rFonts w:asciiTheme="minorHAnsi" w:hAnsiTheme="minorHAnsi" w:cstheme="minorHAnsi"/>
          <w:sz w:val="16"/>
          <w:szCs w:val="16"/>
        </w:rPr>
        <w:tab/>
      </w:r>
      <w:r w:rsidRPr="00A952DB">
        <w:rPr>
          <w:rFonts w:asciiTheme="minorHAnsi" w:hAnsiTheme="minorHAnsi" w:cstheme="minorHAnsi"/>
          <w:sz w:val="16"/>
          <w:szCs w:val="16"/>
        </w:rPr>
        <w:tab/>
      </w:r>
    </w:p>
    <w:p w:rsidR="00A952DB" w:rsidRDefault="00A952DB" w:rsidP="00A952DB">
      <w:pPr>
        <w:pStyle w:val="Prrafodelista"/>
        <w:spacing w:before="120" w:after="120" w:line="240" w:lineRule="exact"/>
        <w:ind w:left="1080"/>
        <w:jc w:val="both"/>
        <w:rPr>
          <w:rFonts w:ascii="Arial" w:eastAsia="Calibri" w:hAnsi="Arial" w:cs="Arial"/>
          <w:spacing w:val="-1"/>
          <w:sz w:val="17"/>
          <w:szCs w:val="17"/>
        </w:rPr>
      </w:pPr>
    </w:p>
    <w:p w:rsidR="00A952DB" w:rsidRPr="00A67440" w:rsidRDefault="00A952DB" w:rsidP="00A952DB">
      <w:pPr>
        <w:pStyle w:val="Prrafodelista"/>
        <w:spacing w:before="120" w:after="120" w:line="240" w:lineRule="exact"/>
        <w:ind w:left="1080"/>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Cambios en políticas contables y corrección de errores junto con la revelación de los efectos que se tendrá en la información financiera del ente público, ya sea retrospectivos o prospectivos.</w:t>
      </w:r>
    </w:p>
    <w:p w:rsidR="00A952DB" w:rsidRPr="00A952DB" w:rsidRDefault="00A952DB" w:rsidP="00A952DB">
      <w:pPr>
        <w:pStyle w:val="Prrafodelista"/>
        <w:ind w:firstLine="360"/>
        <w:jc w:val="both"/>
        <w:rPr>
          <w:rFonts w:asciiTheme="minorHAnsi" w:hAnsiTheme="minorHAnsi" w:cstheme="minorHAnsi"/>
          <w:b/>
          <w:sz w:val="16"/>
          <w:szCs w:val="16"/>
        </w:rPr>
      </w:pPr>
      <w:r w:rsidRPr="00A952DB">
        <w:rPr>
          <w:rFonts w:asciiTheme="minorHAnsi" w:hAnsiTheme="minorHAnsi" w:cstheme="minorHAnsi"/>
          <w:b/>
          <w:sz w:val="16"/>
          <w:szCs w:val="16"/>
        </w:rPr>
        <w:t>En el año 2014 se realizaron adecuaciones en las políticas aplicables al rubro de Inventarios (Reserva Territorial)  como a continuación se menciona:</w:t>
      </w:r>
      <w:r w:rsidRPr="00A952DB">
        <w:rPr>
          <w:rFonts w:asciiTheme="minorHAnsi" w:hAnsiTheme="minorHAnsi" w:cstheme="minorHAnsi"/>
          <w:b/>
          <w:sz w:val="16"/>
          <w:szCs w:val="16"/>
        </w:rPr>
        <w:tab/>
      </w:r>
      <w:r w:rsidRPr="00A952DB">
        <w:rPr>
          <w:rFonts w:asciiTheme="minorHAnsi" w:hAnsiTheme="minorHAnsi" w:cstheme="minorHAnsi"/>
          <w:b/>
          <w:sz w:val="16"/>
          <w:szCs w:val="16"/>
        </w:rPr>
        <w:tab/>
      </w:r>
      <w:r w:rsidRPr="00A952DB">
        <w:rPr>
          <w:rFonts w:asciiTheme="minorHAnsi" w:hAnsiTheme="minorHAnsi" w:cstheme="minorHAnsi"/>
          <w:b/>
          <w:sz w:val="16"/>
          <w:szCs w:val="16"/>
        </w:rPr>
        <w:tab/>
      </w:r>
    </w:p>
    <w:p w:rsidR="00A952DB" w:rsidRPr="00A952DB" w:rsidRDefault="00A952DB" w:rsidP="00A952DB">
      <w:pPr>
        <w:pStyle w:val="Prrafodelista"/>
        <w:jc w:val="both"/>
        <w:rPr>
          <w:rFonts w:asciiTheme="minorHAnsi" w:hAnsiTheme="minorHAnsi" w:cstheme="minorHAnsi"/>
          <w:b/>
          <w:sz w:val="16"/>
          <w:szCs w:val="16"/>
        </w:rPr>
      </w:pPr>
      <w:r w:rsidRPr="00A952DB">
        <w:rPr>
          <w:rFonts w:asciiTheme="minorHAnsi" w:hAnsiTheme="minorHAnsi" w:cstheme="minorHAnsi"/>
          <w:sz w:val="16"/>
          <w:szCs w:val="16"/>
        </w:rPr>
        <w:tab/>
      </w:r>
      <w:r w:rsidRPr="00A952DB">
        <w:rPr>
          <w:rFonts w:asciiTheme="minorHAnsi" w:hAnsiTheme="minorHAnsi" w:cstheme="minorHAnsi"/>
          <w:sz w:val="16"/>
          <w:szCs w:val="16"/>
        </w:rPr>
        <w:tab/>
      </w:r>
      <w:r w:rsidRPr="00A952DB">
        <w:rPr>
          <w:rFonts w:asciiTheme="minorHAnsi" w:hAnsiTheme="minorHAnsi" w:cstheme="minorHAnsi"/>
          <w:b/>
          <w:sz w:val="16"/>
          <w:szCs w:val="16"/>
        </w:rPr>
        <w:tab/>
      </w:r>
    </w:p>
    <w:p w:rsidR="00A952DB" w:rsidRPr="00A952DB" w:rsidRDefault="00A952DB" w:rsidP="00A952DB">
      <w:pPr>
        <w:pStyle w:val="Prrafodelista"/>
        <w:ind w:left="1080"/>
        <w:jc w:val="both"/>
        <w:rPr>
          <w:rFonts w:asciiTheme="minorHAnsi" w:hAnsiTheme="minorHAnsi" w:cstheme="minorHAnsi"/>
          <w:b/>
          <w:sz w:val="16"/>
          <w:szCs w:val="16"/>
        </w:rPr>
      </w:pPr>
      <w:r w:rsidRPr="00A952DB">
        <w:rPr>
          <w:rFonts w:asciiTheme="minorHAnsi" w:hAnsiTheme="minorHAnsi" w:cstheme="minorHAnsi"/>
          <w:b/>
          <w:sz w:val="16"/>
          <w:szCs w:val="16"/>
        </w:rPr>
        <w:t>"Todos aquellos inmuebles que formen parte de los Inventarios de la Reserva Inmobiliaria de la entidad y que se encuentren en el supuesto del Artículo 7 de l</w:t>
      </w:r>
      <w:r>
        <w:rPr>
          <w:rFonts w:asciiTheme="minorHAnsi" w:hAnsiTheme="minorHAnsi" w:cstheme="minorHAnsi"/>
          <w:b/>
          <w:sz w:val="16"/>
          <w:szCs w:val="16"/>
        </w:rPr>
        <w:t xml:space="preserve">a Ley para la Regularización de </w:t>
      </w:r>
      <w:r w:rsidRPr="00A952DB">
        <w:rPr>
          <w:rFonts w:asciiTheme="minorHAnsi" w:hAnsiTheme="minorHAnsi" w:cstheme="minorHAnsi"/>
          <w:b/>
          <w:sz w:val="16"/>
          <w:szCs w:val="16"/>
        </w:rPr>
        <w:t>Asentamientos Humanos para el Estado de Querétaro, se procederá a realizar la baja contable y su control se llevará en cuentas de orden, hasta en tanto los posesionarios los reciban en propiedad, no dando lugar esta operación a la generación de cuentas por cobrar"</w:t>
      </w:r>
      <w:r w:rsidRPr="00A952DB">
        <w:rPr>
          <w:rFonts w:asciiTheme="minorHAnsi" w:hAnsiTheme="minorHAnsi" w:cstheme="minorHAnsi"/>
          <w:b/>
          <w:sz w:val="16"/>
          <w:szCs w:val="16"/>
        </w:rPr>
        <w:tab/>
      </w:r>
    </w:p>
    <w:p w:rsidR="00A952DB" w:rsidRDefault="00A952DB" w:rsidP="00A952DB">
      <w:pPr>
        <w:pStyle w:val="Prrafodelista"/>
        <w:spacing w:before="120" w:after="120" w:line="240" w:lineRule="exact"/>
        <w:ind w:firstLine="360"/>
        <w:jc w:val="both"/>
        <w:rPr>
          <w:rFonts w:asciiTheme="minorHAnsi" w:hAnsiTheme="minorHAnsi" w:cstheme="minorHAnsi"/>
          <w:b/>
          <w:sz w:val="16"/>
          <w:szCs w:val="16"/>
        </w:rPr>
      </w:pPr>
    </w:p>
    <w:p w:rsidR="00A952DB" w:rsidRPr="00460C52" w:rsidRDefault="00A952DB" w:rsidP="00A952DB">
      <w:pPr>
        <w:pStyle w:val="Prrafodelista"/>
        <w:spacing w:before="120" w:after="120" w:line="240" w:lineRule="exact"/>
        <w:ind w:firstLine="360"/>
        <w:jc w:val="both"/>
        <w:rPr>
          <w:rFonts w:asciiTheme="minorHAnsi" w:hAnsiTheme="minorHAnsi" w:cstheme="minorHAnsi"/>
          <w:b/>
          <w:sz w:val="16"/>
          <w:szCs w:val="16"/>
        </w:rPr>
      </w:pPr>
      <w:r w:rsidRPr="00460C52">
        <w:rPr>
          <w:rFonts w:asciiTheme="minorHAnsi" w:hAnsiTheme="minorHAnsi" w:cstheme="minorHAnsi"/>
          <w:b/>
          <w:sz w:val="16"/>
          <w:szCs w:val="16"/>
        </w:rPr>
        <w:t>Los  efectos de esta  nueva política es dejar  debidamente revelada  la propiedad  de  los bienes inmuebles de la entidad.</w:t>
      </w:r>
    </w:p>
    <w:p w:rsidR="00A952DB" w:rsidRDefault="00A952DB" w:rsidP="00A952DB">
      <w:pPr>
        <w:pStyle w:val="Prrafodelista"/>
        <w:spacing w:before="120" w:after="120" w:line="240" w:lineRule="exact"/>
        <w:ind w:left="1440"/>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897A52" w:rsidRPr="00B9468E" w:rsidRDefault="00B9468E" w:rsidP="00897A52">
      <w:pPr>
        <w:spacing w:before="120" w:after="120" w:line="240" w:lineRule="exact"/>
        <w:ind w:left="108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B9468E" w:rsidRPr="00B9468E" w:rsidRDefault="00B9468E" w:rsidP="00B9468E">
      <w:pPr>
        <w:spacing w:before="120" w:after="120" w:line="240" w:lineRule="exact"/>
        <w:ind w:left="108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B9468E" w:rsidRPr="00B9468E" w:rsidRDefault="00B9468E" w:rsidP="00B9468E">
      <w:pPr>
        <w:pStyle w:val="Prrafodelista"/>
        <w:spacing w:before="120" w:after="120" w:line="240" w:lineRule="exact"/>
        <w:ind w:firstLine="36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B9468E" w:rsidRPr="00B9468E" w:rsidRDefault="00B9468E" w:rsidP="00B9468E">
      <w:pPr>
        <w:pStyle w:val="Prrafodelista"/>
        <w:spacing w:before="120" w:after="120" w:line="240" w:lineRule="exact"/>
        <w:ind w:firstLine="36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B9468E" w:rsidRPr="00B9468E" w:rsidRDefault="00B9468E" w:rsidP="00B9468E">
      <w:pPr>
        <w:pStyle w:val="Prrafodelista"/>
        <w:spacing w:before="120" w:after="120" w:line="240" w:lineRule="exact"/>
        <w:ind w:firstLine="36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B9468E" w:rsidRPr="00B9468E" w:rsidRDefault="00B9468E" w:rsidP="00B9468E">
      <w:pPr>
        <w:pStyle w:val="Prrafodelista"/>
        <w:spacing w:before="120" w:after="120" w:line="240" w:lineRule="exact"/>
        <w:ind w:firstLine="36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B9468E" w:rsidRPr="00B9468E" w:rsidRDefault="00B9468E" w:rsidP="00B9468E">
      <w:pPr>
        <w:pStyle w:val="Prrafodelista"/>
        <w:spacing w:before="120" w:after="120" w:line="240" w:lineRule="exact"/>
        <w:ind w:firstLine="360"/>
        <w:jc w:val="both"/>
        <w:rPr>
          <w:rFonts w:ascii="Arial" w:eastAsia="Calibri" w:hAnsi="Arial" w:cs="Arial"/>
          <w:b/>
          <w:spacing w:val="-1"/>
          <w:sz w:val="17"/>
          <w:szCs w:val="17"/>
        </w:rPr>
      </w:pPr>
      <w:r w:rsidRPr="00B9468E">
        <w:rPr>
          <w:rFonts w:ascii="Arial" w:eastAsia="Calibri" w:hAnsi="Arial" w:cs="Arial"/>
          <w:b/>
          <w:spacing w:val="-1"/>
          <w:sz w:val="17"/>
          <w:szCs w:val="17"/>
        </w:rPr>
        <w:t>No aplica en el periodo</w:t>
      </w:r>
    </w:p>
    <w:p w:rsidR="00B9468E" w:rsidRPr="00A67440" w:rsidRDefault="00B9468E" w:rsidP="00B9468E">
      <w:pPr>
        <w:pStyle w:val="Prrafodelista"/>
        <w:spacing w:before="120" w:after="120" w:line="240" w:lineRule="exact"/>
        <w:ind w:left="1440"/>
        <w:jc w:val="both"/>
        <w:rPr>
          <w:rFonts w:ascii="Arial" w:eastAsia="Calibri" w:hAnsi="Arial" w:cs="Arial"/>
          <w:spacing w:val="-1"/>
          <w:sz w:val="17"/>
          <w:szCs w:val="17"/>
        </w:rPr>
      </w:pP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Vida útil o porcentajes de depreciación, deterioro o amortización utilizados en los diferentes tipos de activos.</w:t>
      </w:r>
    </w:p>
    <w:p w:rsidR="00B9468E" w:rsidRPr="00223714" w:rsidRDefault="00223714" w:rsidP="00B9468E">
      <w:pPr>
        <w:pStyle w:val="Prrafodelista"/>
        <w:spacing w:before="120" w:after="120" w:line="240" w:lineRule="exact"/>
        <w:ind w:left="1440"/>
        <w:jc w:val="both"/>
        <w:rPr>
          <w:rFonts w:ascii="Arial" w:eastAsia="Calibri" w:hAnsi="Arial" w:cs="Arial"/>
          <w:b/>
          <w:spacing w:val="-1"/>
          <w:sz w:val="17"/>
          <w:szCs w:val="17"/>
        </w:rPr>
      </w:pPr>
      <w:r>
        <w:rPr>
          <w:rFonts w:ascii="Arial" w:eastAsia="Calibri" w:hAnsi="Arial" w:cs="Arial"/>
          <w:b/>
          <w:spacing w:val="-1"/>
          <w:sz w:val="17"/>
          <w:szCs w:val="17"/>
        </w:rPr>
        <w:t xml:space="preserve">Los porcentajes de depreciación se realizan de acuerdo a los parámetros </w:t>
      </w:r>
      <w:r w:rsidRPr="00223714">
        <w:rPr>
          <w:rFonts w:ascii="Arial" w:eastAsia="Calibri" w:hAnsi="Arial" w:cs="Arial"/>
          <w:b/>
          <w:spacing w:val="-1"/>
          <w:sz w:val="17"/>
          <w:szCs w:val="17"/>
        </w:rPr>
        <w:t>de Estimación de Vida Útil emitidos por el CONAC en la “Guía de Vida Útil Estimada y Porcentajes de Depreciación” (DOF 15 Agosto 2012).</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B9468E" w:rsidRPr="00223714" w:rsidRDefault="00223714" w:rsidP="00B9468E">
      <w:pPr>
        <w:pStyle w:val="Prrafodelista"/>
        <w:spacing w:before="120" w:after="120" w:line="240" w:lineRule="exact"/>
        <w:ind w:left="1440"/>
        <w:jc w:val="both"/>
        <w:rPr>
          <w:rFonts w:ascii="Arial" w:eastAsia="Calibri" w:hAnsi="Arial" w:cs="Arial"/>
          <w:b/>
          <w:spacing w:val="-1"/>
          <w:sz w:val="17"/>
          <w:szCs w:val="17"/>
        </w:rPr>
      </w:pPr>
      <w:r>
        <w:rPr>
          <w:rFonts w:ascii="Arial" w:eastAsia="Calibri" w:hAnsi="Arial" w:cs="Arial"/>
          <w:b/>
          <w:spacing w:val="-1"/>
          <w:sz w:val="17"/>
          <w:szCs w:val="17"/>
        </w:rPr>
        <w:t>No aplica en el periodo.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223714" w:rsidRPr="00223714" w:rsidRDefault="00223714" w:rsidP="00223714">
      <w:pPr>
        <w:pStyle w:val="Prrafodelista"/>
        <w:spacing w:before="120" w:after="120" w:line="240" w:lineRule="exact"/>
        <w:ind w:firstLine="698"/>
        <w:jc w:val="both"/>
        <w:rPr>
          <w:rFonts w:ascii="Arial" w:eastAsia="Calibri" w:hAnsi="Arial" w:cs="Arial"/>
          <w:b/>
          <w:spacing w:val="-1"/>
          <w:sz w:val="17"/>
          <w:szCs w:val="17"/>
        </w:rPr>
      </w:pPr>
      <w:r>
        <w:rPr>
          <w:rFonts w:ascii="Arial" w:eastAsia="Calibri" w:hAnsi="Arial" w:cs="Arial"/>
          <w:b/>
          <w:spacing w:val="-1"/>
          <w:sz w:val="17"/>
          <w:szCs w:val="17"/>
        </w:rPr>
        <w:t>No aplica en el periodo.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B9468E" w:rsidRDefault="00223714" w:rsidP="00B9468E">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B9468E" w:rsidRDefault="00223714" w:rsidP="00B9468E">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B9468E" w:rsidRDefault="00223714" w:rsidP="00B9468E">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B9468E" w:rsidRDefault="00223714" w:rsidP="00B9468E">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223714" w:rsidRPr="0010523D" w:rsidRDefault="00223714" w:rsidP="0022371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b/>
          <w:spacing w:val="-1"/>
          <w:sz w:val="17"/>
          <w:szCs w:val="17"/>
        </w:rPr>
        <w:t>No aplica en el periodo.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223714" w:rsidRDefault="00223714" w:rsidP="00223714">
      <w:pPr>
        <w:pStyle w:val="Prrafodelista"/>
        <w:spacing w:before="120" w:after="120" w:line="240" w:lineRule="exact"/>
        <w:ind w:left="1440"/>
        <w:jc w:val="both"/>
        <w:rPr>
          <w:rFonts w:ascii="Arial" w:eastAsia="Calibri" w:hAnsi="Arial" w:cs="Arial"/>
          <w:spacing w:val="-1"/>
          <w:sz w:val="17"/>
          <w:szCs w:val="17"/>
        </w:rPr>
      </w:pPr>
    </w:p>
    <w:tbl>
      <w:tblPr>
        <w:tblW w:w="12375" w:type="dxa"/>
        <w:tblInd w:w="636" w:type="dxa"/>
        <w:tblCellMar>
          <w:left w:w="70" w:type="dxa"/>
          <w:right w:w="70" w:type="dxa"/>
        </w:tblCellMar>
        <w:tblLook w:val="04A0" w:firstRow="1" w:lastRow="0" w:firstColumn="1" w:lastColumn="0" w:noHBand="0" w:noVBand="1"/>
      </w:tblPr>
      <w:tblGrid>
        <w:gridCol w:w="4925"/>
        <w:gridCol w:w="2474"/>
        <w:gridCol w:w="2808"/>
        <w:gridCol w:w="2168"/>
      </w:tblGrid>
      <w:tr w:rsidR="00223714" w:rsidRPr="00223714" w:rsidTr="00223714">
        <w:trPr>
          <w:trHeight w:val="213"/>
        </w:trPr>
        <w:tc>
          <w:tcPr>
            <w:tcW w:w="4925" w:type="dxa"/>
            <w:tcBorders>
              <w:top w:val="single" w:sz="8" w:space="0" w:color="auto"/>
              <w:left w:val="single" w:sz="8" w:space="0" w:color="auto"/>
              <w:bottom w:val="single" w:sz="8" w:space="0" w:color="auto"/>
              <w:right w:val="single" w:sz="8" w:space="0" w:color="auto"/>
            </w:tcBorders>
            <w:shd w:val="clear" w:color="auto" w:fill="auto"/>
            <w:noWrap/>
            <w:hideMark/>
          </w:tcPr>
          <w:p w:rsidR="00223714" w:rsidRPr="00223714" w:rsidRDefault="00223714" w:rsidP="00223714">
            <w:pPr>
              <w:jc w:val="center"/>
              <w:rPr>
                <w:rFonts w:ascii="Calibri" w:hAnsi="Calibri" w:cs="Calibri"/>
                <w:bCs/>
                <w:color w:val="000000"/>
                <w:sz w:val="16"/>
                <w:szCs w:val="16"/>
              </w:rPr>
            </w:pPr>
            <w:r w:rsidRPr="00223714">
              <w:rPr>
                <w:rFonts w:ascii="Calibri" w:hAnsi="Calibri" w:cs="Calibri"/>
                <w:bCs/>
                <w:color w:val="000000"/>
                <w:sz w:val="16"/>
                <w:szCs w:val="16"/>
              </w:rPr>
              <w:t>CONCEPTO</w:t>
            </w:r>
          </w:p>
        </w:tc>
        <w:tc>
          <w:tcPr>
            <w:tcW w:w="2474" w:type="dxa"/>
            <w:tcBorders>
              <w:top w:val="single" w:sz="8" w:space="0" w:color="auto"/>
              <w:left w:val="nil"/>
              <w:bottom w:val="single" w:sz="8" w:space="0" w:color="auto"/>
              <w:right w:val="single" w:sz="8" w:space="0" w:color="auto"/>
            </w:tcBorders>
            <w:shd w:val="clear" w:color="auto" w:fill="auto"/>
            <w:noWrap/>
            <w:hideMark/>
          </w:tcPr>
          <w:p w:rsidR="00223714" w:rsidRPr="00223714" w:rsidRDefault="00223714" w:rsidP="00223714">
            <w:pPr>
              <w:jc w:val="center"/>
              <w:rPr>
                <w:rFonts w:ascii="Calibri" w:hAnsi="Calibri" w:cs="Calibri"/>
                <w:bCs/>
                <w:color w:val="000000"/>
                <w:sz w:val="16"/>
                <w:szCs w:val="16"/>
              </w:rPr>
            </w:pPr>
            <w:r w:rsidRPr="00223714">
              <w:rPr>
                <w:rFonts w:ascii="Calibri" w:hAnsi="Calibri" w:cs="Calibri"/>
                <w:bCs/>
                <w:color w:val="000000"/>
                <w:sz w:val="16"/>
                <w:szCs w:val="16"/>
              </w:rPr>
              <w:t>INGRESOS LOCALES</w:t>
            </w:r>
          </w:p>
        </w:tc>
        <w:tc>
          <w:tcPr>
            <w:tcW w:w="2808" w:type="dxa"/>
            <w:tcBorders>
              <w:top w:val="single" w:sz="8" w:space="0" w:color="auto"/>
              <w:left w:val="nil"/>
              <w:bottom w:val="single" w:sz="8" w:space="0" w:color="auto"/>
              <w:right w:val="single" w:sz="8" w:space="0" w:color="auto"/>
            </w:tcBorders>
            <w:shd w:val="clear" w:color="auto" w:fill="auto"/>
            <w:noWrap/>
            <w:hideMark/>
          </w:tcPr>
          <w:p w:rsidR="00223714" w:rsidRPr="00223714" w:rsidRDefault="00223714" w:rsidP="00223714">
            <w:pPr>
              <w:jc w:val="center"/>
              <w:rPr>
                <w:rFonts w:ascii="Calibri" w:hAnsi="Calibri" w:cs="Calibri"/>
                <w:bCs/>
                <w:color w:val="000000"/>
                <w:sz w:val="16"/>
                <w:szCs w:val="16"/>
              </w:rPr>
            </w:pPr>
            <w:r w:rsidRPr="00223714">
              <w:rPr>
                <w:rFonts w:ascii="Calibri" w:hAnsi="Calibri" w:cs="Calibri"/>
                <w:bCs/>
                <w:color w:val="000000"/>
                <w:sz w:val="16"/>
                <w:szCs w:val="16"/>
              </w:rPr>
              <w:t>INGRESOS FEDERALES</w:t>
            </w:r>
          </w:p>
        </w:tc>
        <w:tc>
          <w:tcPr>
            <w:tcW w:w="2168" w:type="dxa"/>
            <w:tcBorders>
              <w:top w:val="single" w:sz="8" w:space="0" w:color="auto"/>
              <w:left w:val="nil"/>
              <w:bottom w:val="single" w:sz="8" w:space="0" w:color="auto"/>
              <w:right w:val="single" w:sz="8" w:space="0" w:color="auto"/>
            </w:tcBorders>
            <w:shd w:val="clear" w:color="auto" w:fill="auto"/>
            <w:noWrap/>
            <w:hideMark/>
          </w:tcPr>
          <w:p w:rsidR="00223714" w:rsidRPr="00223714" w:rsidRDefault="00223714" w:rsidP="00223714">
            <w:pPr>
              <w:jc w:val="center"/>
              <w:rPr>
                <w:rFonts w:ascii="Calibri" w:hAnsi="Calibri" w:cs="Calibri"/>
                <w:bCs/>
                <w:color w:val="000000"/>
                <w:sz w:val="16"/>
                <w:szCs w:val="16"/>
              </w:rPr>
            </w:pPr>
            <w:r w:rsidRPr="00223714">
              <w:rPr>
                <w:rFonts w:ascii="Calibri" w:hAnsi="Calibri" w:cs="Calibri"/>
                <w:bCs/>
                <w:color w:val="000000"/>
                <w:sz w:val="16"/>
                <w:szCs w:val="16"/>
              </w:rPr>
              <w:t>TOTAL INGRESOS</w:t>
            </w:r>
          </w:p>
        </w:tc>
      </w:tr>
      <w:tr w:rsidR="00223714" w:rsidRPr="00223714" w:rsidTr="00223714">
        <w:trPr>
          <w:trHeight w:val="392"/>
        </w:trPr>
        <w:tc>
          <w:tcPr>
            <w:tcW w:w="4925" w:type="dxa"/>
            <w:tcBorders>
              <w:top w:val="nil"/>
              <w:left w:val="single" w:sz="8" w:space="0" w:color="auto"/>
              <w:bottom w:val="single" w:sz="8" w:space="0" w:color="auto"/>
              <w:right w:val="single" w:sz="8" w:space="0" w:color="auto"/>
            </w:tcBorders>
            <w:shd w:val="clear" w:color="auto" w:fill="auto"/>
            <w:noWrap/>
            <w:hideMark/>
          </w:tcPr>
          <w:p w:rsidR="00223714" w:rsidRPr="00223714" w:rsidRDefault="00223714" w:rsidP="00223714">
            <w:pPr>
              <w:jc w:val="both"/>
              <w:rPr>
                <w:rFonts w:ascii="Calibri" w:hAnsi="Calibri" w:cs="Calibri"/>
                <w:color w:val="000000"/>
                <w:sz w:val="16"/>
                <w:szCs w:val="16"/>
              </w:rPr>
            </w:pPr>
            <w:r w:rsidRPr="00223714">
              <w:rPr>
                <w:rFonts w:ascii="Calibri" w:hAnsi="Calibri" w:cs="Calibri"/>
                <w:color w:val="000000"/>
                <w:sz w:val="16"/>
                <w:szCs w:val="16"/>
              </w:rPr>
              <w:t>Aprovechamientos de Tipo Corriente</w:t>
            </w:r>
          </w:p>
        </w:tc>
        <w:tc>
          <w:tcPr>
            <w:tcW w:w="2474"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 </w:t>
            </w:r>
          </w:p>
        </w:tc>
        <w:tc>
          <w:tcPr>
            <w:tcW w:w="280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p>
        </w:tc>
        <w:tc>
          <w:tcPr>
            <w:tcW w:w="216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p>
        </w:tc>
      </w:tr>
      <w:tr w:rsidR="00223714" w:rsidRPr="00223714" w:rsidTr="00223714">
        <w:trPr>
          <w:trHeight w:val="392"/>
        </w:trPr>
        <w:tc>
          <w:tcPr>
            <w:tcW w:w="4925" w:type="dxa"/>
            <w:tcBorders>
              <w:top w:val="nil"/>
              <w:left w:val="single" w:sz="8" w:space="0" w:color="auto"/>
              <w:bottom w:val="single" w:sz="8" w:space="0" w:color="auto"/>
              <w:right w:val="single" w:sz="8" w:space="0" w:color="auto"/>
            </w:tcBorders>
            <w:shd w:val="clear" w:color="auto" w:fill="auto"/>
            <w:noWrap/>
            <w:hideMark/>
          </w:tcPr>
          <w:p w:rsidR="00223714" w:rsidRPr="00223714" w:rsidRDefault="00223714" w:rsidP="00223714">
            <w:pPr>
              <w:jc w:val="both"/>
              <w:rPr>
                <w:rFonts w:ascii="Calibri" w:hAnsi="Calibri" w:cs="Calibri"/>
                <w:color w:val="000000"/>
                <w:sz w:val="16"/>
                <w:szCs w:val="16"/>
              </w:rPr>
            </w:pPr>
            <w:r w:rsidRPr="00223714">
              <w:rPr>
                <w:rFonts w:ascii="Calibri" w:hAnsi="Calibri" w:cs="Calibri"/>
                <w:color w:val="000000"/>
                <w:sz w:val="16"/>
                <w:szCs w:val="16"/>
              </w:rPr>
              <w:t>Ingresos por Venta de Bienes y Servicios</w:t>
            </w:r>
          </w:p>
        </w:tc>
        <w:tc>
          <w:tcPr>
            <w:tcW w:w="2474"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2,881,813.49</w:t>
            </w:r>
          </w:p>
        </w:tc>
        <w:tc>
          <w:tcPr>
            <w:tcW w:w="280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 </w:t>
            </w:r>
          </w:p>
        </w:tc>
        <w:tc>
          <w:tcPr>
            <w:tcW w:w="216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2,881,813.49</w:t>
            </w:r>
          </w:p>
        </w:tc>
      </w:tr>
      <w:tr w:rsidR="00223714" w:rsidRPr="00223714" w:rsidTr="00223714">
        <w:trPr>
          <w:trHeight w:val="392"/>
        </w:trPr>
        <w:tc>
          <w:tcPr>
            <w:tcW w:w="4925" w:type="dxa"/>
            <w:tcBorders>
              <w:top w:val="nil"/>
              <w:left w:val="single" w:sz="8" w:space="0" w:color="auto"/>
              <w:bottom w:val="single" w:sz="8" w:space="0" w:color="auto"/>
              <w:right w:val="single" w:sz="8" w:space="0" w:color="auto"/>
            </w:tcBorders>
            <w:shd w:val="clear" w:color="auto" w:fill="auto"/>
            <w:noWrap/>
            <w:hideMark/>
          </w:tcPr>
          <w:p w:rsidR="00223714" w:rsidRPr="00223714" w:rsidRDefault="00223714" w:rsidP="00223714">
            <w:pPr>
              <w:jc w:val="both"/>
              <w:rPr>
                <w:rFonts w:ascii="Calibri" w:hAnsi="Calibri" w:cs="Calibri"/>
                <w:color w:val="000000"/>
                <w:sz w:val="16"/>
                <w:szCs w:val="16"/>
              </w:rPr>
            </w:pPr>
            <w:r w:rsidRPr="00223714">
              <w:rPr>
                <w:rFonts w:ascii="Calibri" w:hAnsi="Calibri" w:cs="Calibri"/>
                <w:color w:val="000000"/>
                <w:sz w:val="16"/>
                <w:szCs w:val="16"/>
              </w:rPr>
              <w:t>Transferencias, Asignaciones, Subsidios y Otras Ayudas</w:t>
            </w:r>
          </w:p>
        </w:tc>
        <w:tc>
          <w:tcPr>
            <w:tcW w:w="2474"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44,002,932.90</w:t>
            </w:r>
          </w:p>
          <w:p w:rsidR="00223714" w:rsidRPr="00223714" w:rsidRDefault="00223714" w:rsidP="00223714">
            <w:pPr>
              <w:jc w:val="right"/>
              <w:rPr>
                <w:rFonts w:ascii="Calibri" w:hAnsi="Calibri" w:cs="Calibri"/>
                <w:color w:val="000000"/>
                <w:sz w:val="16"/>
                <w:szCs w:val="16"/>
              </w:rPr>
            </w:pPr>
          </w:p>
        </w:tc>
        <w:tc>
          <w:tcPr>
            <w:tcW w:w="280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24,028,705.38</w:t>
            </w:r>
          </w:p>
        </w:tc>
        <w:tc>
          <w:tcPr>
            <w:tcW w:w="216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68,031,638.28</w:t>
            </w:r>
          </w:p>
        </w:tc>
      </w:tr>
      <w:tr w:rsidR="00223714" w:rsidRPr="00223714" w:rsidTr="00223714">
        <w:trPr>
          <w:trHeight w:val="392"/>
        </w:trPr>
        <w:tc>
          <w:tcPr>
            <w:tcW w:w="4925" w:type="dxa"/>
            <w:tcBorders>
              <w:top w:val="nil"/>
              <w:left w:val="single" w:sz="8" w:space="0" w:color="auto"/>
              <w:bottom w:val="single" w:sz="8" w:space="0" w:color="auto"/>
              <w:right w:val="single" w:sz="8" w:space="0" w:color="auto"/>
            </w:tcBorders>
            <w:shd w:val="clear" w:color="auto" w:fill="auto"/>
            <w:noWrap/>
            <w:hideMark/>
          </w:tcPr>
          <w:p w:rsidR="00223714" w:rsidRPr="00223714" w:rsidRDefault="00223714" w:rsidP="00223714">
            <w:pPr>
              <w:jc w:val="both"/>
              <w:rPr>
                <w:rFonts w:ascii="Calibri" w:hAnsi="Calibri" w:cs="Calibri"/>
                <w:color w:val="000000"/>
                <w:sz w:val="16"/>
                <w:szCs w:val="16"/>
              </w:rPr>
            </w:pPr>
            <w:r w:rsidRPr="00223714">
              <w:rPr>
                <w:rFonts w:ascii="Calibri" w:hAnsi="Calibri" w:cs="Calibri"/>
                <w:color w:val="000000"/>
                <w:sz w:val="16"/>
                <w:szCs w:val="16"/>
              </w:rPr>
              <w:t>Otros Ingresos y Beneficios</w:t>
            </w:r>
          </w:p>
        </w:tc>
        <w:tc>
          <w:tcPr>
            <w:tcW w:w="2474"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1,021,961.88</w:t>
            </w:r>
          </w:p>
        </w:tc>
        <w:tc>
          <w:tcPr>
            <w:tcW w:w="280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p>
        </w:tc>
        <w:tc>
          <w:tcPr>
            <w:tcW w:w="216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color w:val="000000"/>
                <w:sz w:val="16"/>
                <w:szCs w:val="16"/>
              </w:rPr>
            </w:pPr>
            <w:r w:rsidRPr="00223714">
              <w:rPr>
                <w:rFonts w:ascii="Calibri" w:hAnsi="Calibri" w:cs="Calibri"/>
                <w:color w:val="000000"/>
                <w:sz w:val="16"/>
                <w:szCs w:val="16"/>
              </w:rPr>
              <w:t>1,021,961.88</w:t>
            </w:r>
          </w:p>
        </w:tc>
      </w:tr>
      <w:tr w:rsidR="00223714" w:rsidRPr="00223714" w:rsidTr="00223714">
        <w:trPr>
          <w:trHeight w:val="392"/>
        </w:trPr>
        <w:tc>
          <w:tcPr>
            <w:tcW w:w="4925" w:type="dxa"/>
            <w:tcBorders>
              <w:top w:val="nil"/>
              <w:left w:val="single" w:sz="8" w:space="0" w:color="auto"/>
              <w:bottom w:val="single" w:sz="8" w:space="0" w:color="auto"/>
              <w:right w:val="single" w:sz="8" w:space="0" w:color="auto"/>
            </w:tcBorders>
            <w:shd w:val="clear" w:color="auto" w:fill="auto"/>
            <w:noWrap/>
            <w:hideMark/>
          </w:tcPr>
          <w:p w:rsidR="00223714" w:rsidRPr="00223714" w:rsidRDefault="00223714" w:rsidP="00223714">
            <w:pPr>
              <w:jc w:val="both"/>
              <w:rPr>
                <w:rFonts w:ascii="Calibri" w:hAnsi="Calibri" w:cs="Calibri"/>
                <w:color w:val="000000"/>
                <w:sz w:val="16"/>
                <w:szCs w:val="16"/>
              </w:rPr>
            </w:pPr>
            <w:r w:rsidRPr="00223714">
              <w:rPr>
                <w:rFonts w:ascii="Calibri" w:hAnsi="Calibri" w:cs="Calibri"/>
                <w:color w:val="000000"/>
                <w:sz w:val="16"/>
                <w:szCs w:val="16"/>
              </w:rPr>
              <w:t>TOTAL  DE INGRESOS</w:t>
            </w:r>
          </w:p>
        </w:tc>
        <w:tc>
          <w:tcPr>
            <w:tcW w:w="2474"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bCs/>
                <w:color w:val="000000"/>
                <w:sz w:val="16"/>
                <w:szCs w:val="16"/>
              </w:rPr>
            </w:pPr>
            <w:r w:rsidRPr="00223714">
              <w:rPr>
                <w:rFonts w:ascii="Calibri" w:hAnsi="Calibri" w:cs="Calibri"/>
                <w:bCs/>
                <w:color w:val="000000"/>
                <w:sz w:val="16"/>
                <w:szCs w:val="16"/>
              </w:rPr>
              <w:t>47,906708.27</w:t>
            </w:r>
          </w:p>
        </w:tc>
        <w:tc>
          <w:tcPr>
            <w:tcW w:w="280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bCs/>
                <w:color w:val="000000"/>
                <w:sz w:val="16"/>
                <w:szCs w:val="16"/>
              </w:rPr>
            </w:pPr>
            <w:r w:rsidRPr="00223714">
              <w:rPr>
                <w:rFonts w:ascii="Calibri" w:hAnsi="Calibri" w:cs="Calibri"/>
                <w:color w:val="000000"/>
                <w:sz w:val="16"/>
                <w:szCs w:val="16"/>
              </w:rPr>
              <w:t>24,028,705.38</w:t>
            </w:r>
          </w:p>
        </w:tc>
        <w:tc>
          <w:tcPr>
            <w:tcW w:w="2168" w:type="dxa"/>
            <w:tcBorders>
              <w:top w:val="nil"/>
              <w:left w:val="nil"/>
              <w:bottom w:val="single" w:sz="8" w:space="0" w:color="auto"/>
              <w:right w:val="single" w:sz="8" w:space="0" w:color="auto"/>
            </w:tcBorders>
            <w:shd w:val="clear" w:color="auto" w:fill="auto"/>
            <w:noWrap/>
            <w:hideMark/>
          </w:tcPr>
          <w:p w:rsidR="00223714" w:rsidRPr="00223714" w:rsidRDefault="00223714" w:rsidP="00223714">
            <w:pPr>
              <w:jc w:val="right"/>
              <w:rPr>
                <w:rFonts w:ascii="Calibri" w:hAnsi="Calibri" w:cs="Calibri"/>
                <w:bCs/>
                <w:color w:val="000000"/>
                <w:sz w:val="16"/>
                <w:szCs w:val="16"/>
              </w:rPr>
            </w:pPr>
            <w:r w:rsidRPr="00223714">
              <w:rPr>
                <w:rFonts w:ascii="Calibri" w:hAnsi="Calibri" w:cs="Calibri"/>
                <w:bCs/>
                <w:color w:val="000000"/>
                <w:sz w:val="16"/>
                <w:szCs w:val="16"/>
              </w:rPr>
              <w:t>71,935,413.65</w:t>
            </w:r>
          </w:p>
        </w:tc>
      </w:tr>
    </w:tbl>
    <w:p w:rsidR="00223714" w:rsidRDefault="00223714" w:rsidP="00223714">
      <w:pPr>
        <w:pStyle w:val="Prrafodelista"/>
        <w:spacing w:before="120" w:after="120" w:line="240" w:lineRule="exact"/>
        <w:ind w:left="1440"/>
        <w:jc w:val="both"/>
        <w:rPr>
          <w:rFonts w:ascii="Arial" w:eastAsia="Calibri" w:hAnsi="Arial" w:cs="Arial"/>
          <w:spacing w:val="-1"/>
          <w:sz w:val="17"/>
          <w:szCs w:val="17"/>
        </w:rPr>
      </w:pP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tbl>
      <w:tblPr>
        <w:tblpPr w:leftFromText="141" w:rightFromText="141" w:vertAnchor="text" w:horzAnchor="page" w:tblpX="1791" w:tblpY="154"/>
        <w:tblW w:w="12380" w:type="dxa"/>
        <w:tblCellMar>
          <w:left w:w="70" w:type="dxa"/>
          <w:right w:w="70" w:type="dxa"/>
        </w:tblCellMar>
        <w:tblLook w:val="04A0" w:firstRow="1" w:lastRow="0" w:firstColumn="1" w:lastColumn="0" w:noHBand="0" w:noVBand="1"/>
      </w:tblPr>
      <w:tblGrid>
        <w:gridCol w:w="5071"/>
        <w:gridCol w:w="2552"/>
        <w:gridCol w:w="2522"/>
        <w:gridCol w:w="2235"/>
      </w:tblGrid>
      <w:tr w:rsidR="00223714" w:rsidRPr="00460C52" w:rsidTr="00223714">
        <w:trPr>
          <w:trHeight w:val="211"/>
        </w:trPr>
        <w:tc>
          <w:tcPr>
            <w:tcW w:w="5071" w:type="dxa"/>
            <w:tcBorders>
              <w:top w:val="single" w:sz="8" w:space="0" w:color="auto"/>
              <w:left w:val="single" w:sz="8" w:space="0" w:color="auto"/>
              <w:bottom w:val="single" w:sz="8" w:space="0" w:color="auto"/>
              <w:right w:val="single" w:sz="8" w:space="0" w:color="auto"/>
            </w:tcBorders>
            <w:shd w:val="clear" w:color="auto" w:fill="auto"/>
            <w:noWrap/>
            <w:hideMark/>
          </w:tcPr>
          <w:p w:rsidR="00223714" w:rsidRPr="00460C52" w:rsidRDefault="00223714" w:rsidP="00223714">
            <w:pPr>
              <w:jc w:val="center"/>
              <w:rPr>
                <w:rFonts w:asciiTheme="minorHAnsi" w:hAnsiTheme="minorHAnsi" w:cstheme="minorHAnsi"/>
                <w:bCs/>
                <w:color w:val="000000"/>
                <w:sz w:val="16"/>
                <w:szCs w:val="16"/>
              </w:rPr>
            </w:pPr>
            <w:r w:rsidRPr="00460C52">
              <w:rPr>
                <w:rFonts w:asciiTheme="minorHAnsi" w:hAnsiTheme="minorHAnsi" w:cstheme="minorHAnsi"/>
                <w:bCs/>
                <w:color w:val="000000"/>
                <w:sz w:val="16"/>
                <w:szCs w:val="16"/>
              </w:rPr>
              <w:t>CONCEPTO</w:t>
            </w:r>
          </w:p>
        </w:tc>
        <w:tc>
          <w:tcPr>
            <w:tcW w:w="2552" w:type="dxa"/>
            <w:tcBorders>
              <w:top w:val="single" w:sz="8" w:space="0" w:color="auto"/>
              <w:left w:val="nil"/>
              <w:bottom w:val="single" w:sz="8" w:space="0" w:color="auto"/>
              <w:right w:val="single" w:sz="8" w:space="0" w:color="auto"/>
            </w:tcBorders>
            <w:shd w:val="clear" w:color="auto" w:fill="auto"/>
            <w:noWrap/>
            <w:hideMark/>
          </w:tcPr>
          <w:p w:rsidR="00223714" w:rsidRPr="00460C52" w:rsidRDefault="00223714" w:rsidP="00223714">
            <w:pPr>
              <w:jc w:val="center"/>
              <w:rPr>
                <w:rFonts w:asciiTheme="minorHAnsi" w:hAnsiTheme="minorHAnsi" w:cstheme="minorHAnsi"/>
                <w:bCs/>
                <w:color w:val="000000"/>
                <w:sz w:val="16"/>
                <w:szCs w:val="16"/>
              </w:rPr>
            </w:pPr>
            <w:r w:rsidRPr="00460C52">
              <w:rPr>
                <w:rFonts w:asciiTheme="minorHAnsi" w:hAnsiTheme="minorHAnsi" w:cstheme="minorHAnsi"/>
                <w:bCs/>
                <w:color w:val="000000"/>
                <w:sz w:val="16"/>
                <w:szCs w:val="16"/>
              </w:rPr>
              <w:t>INGRESOS LOCALES</w:t>
            </w:r>
          </w:p>
        </w:tc>
        <w:tc>
          <w:tcPr>
            <w:tcW w:w="2522" w:type="dxa"/>
            <w:tcBorders>
              <w:top w:val="single" w:sz="8" w:space="0" w:color="auto"/>
              <w:left w:val="nil"/>
              <w:bottom w:val="single" w:sz="8" w:space="0" w:color="auto"/>
              <w:right w:val="single" w:sz="8" w:space="0" w:color="auto"/>
            </w:tcBorders>
            <w:shd w:val="clear" w:color="auto" w:fill="auto"/>
            <w:noWrap/>
            <w:hideMark/>
          </w:tcPr>
          <w:p w:rsidR="00223714" w:rsidRPr="00460C52" w:rsidRDefault="00223714" w:rsidP="00223714">
            <w:pPr>
              <w:jc w:val="center"/>
              <w:rPr>
                <w:rFonts w:asciiTheme="minorHAnsi" w:hAnsiTheme="minorHAnsi" w:cstheme="minorHAnsi"/>
                <w:bCs/>
                <w:color w:val="000000"/>
                <w:sz w:val="16"/>
                <w:szCs w:val="16"/>
              </w:rPr>
            </w:pPr>
            <w:r w:rsidRPr="00460C52">
              <w:rPr>
                <w:rFonts w:asciiTheme="minorHAnsi" w:hAnsiTheme="minorHAnsi" w:cstheme="minorHAnsi"/>
                <w:bCs/>
                <w:color w:val="000000"/>
                <w:sz w:val="16"/>
                <w:szCs w:val="16"/>
              </w:rPr>
              <w:t>INGRESOS FEDERALES</w:t>
            </w:r>
          </w:p>
        </w:tc>
        <w:tc>
          <w:tcPr>
            <w:tcW w:w="2235" w:type="dxa"/>
            <w:tcBorders>
              <w:top w:val="single" w:sz="8" w:space="0" w:color="auto"/>
              <w:left w:val="nil"/>
              <w:bottom w:val="single" w:sz="8" w:space="0" w:color="auto"/>
              <w:right w:val="single" w:sz="8" w:space="0" w:color="auto"/>
            </w:tcBorders>
            <w:shd w:val="clear" w:color="auto" w:fill="auto"/>
            <w:noWrap/>
            <w:hideMark/>
          </w:tcPr>
          <w:p w:rsidR="00223714" w:rsidRPr="00460C52" w:rsidRDefault="00223714" w:rsidP="00223714">
            <w:pPr>
              <w:jc w:val="center"/>
              <w:rPr>
                <w:rFonts w:asciiTheme="minorHAnsi" w:hAnsiTheme="minorHAnsi" w:cstheme="minorHAnsi"/>
                <w:bCs/>
                <w:color w:val="000000"/>
                <w:sz w:val="16"/>
                <w:szCs w:val="16"/>
              </w:rPr>
            </w:pPr>
            <w:r w:rsidRPr="00460C52">
              <w:rPr>
                <w:rFonts w:asciiTheme="minorHAnsi" w:hAnsiTheme="minorHAnsi" w:cstheme="minorHAnsi"/>
                <w:bCs/>
                <w:color w:val="000000"/>
                <w:sz w:val="16"/>
                <w:szCs w:val="16"/>
              </w:rPr>
              <w:t>TOTAL INGRESOS</w:t>
            </w:r>
          </w:p>
        </w:tc>
      </w:tr>
      <w:tr w:rsidR="00223714" w:rsidRPr="00460C52" w:rsidTr="00223714">
        <w:trPr>
          <w:trHeight w:val="405"/>
        </w:trPr>
        <w:tc>
          <w:tcPr>
            <w:tcW w:w="5071" w:type="dxa"/>
            <w:tcBorders>
              <w:top w:val="nil"/>
              <w:left w:val="single" w:sz="8" w:space="0" w:color="auto"/>
              <w:bottom w:val="single" w:sz="8" w:space="0" w:color="auto"/>
              <w:right w:val="single" w:sz="8" w:space="0" w:color="auto"/>
            </w:tcBorders>
            <w:shd w:val="clear" w:color="auto" w:fill="auto"/>
            <w:noWrap/>
            <w:hideMark/>
          </w:tcPr>
          <w:p w:rsidR="00223714" w:rsidRPr="00460C52" w:rsidRDefault="00223714" w:rsidP="00223714">
            <w:pPr>
              <w:jc w:val="both"/>
              <w:rPr>
                <w:rFonts w:asciiTheme="minorHAnsi" w:hAnsiTheme="minorHAnsi" w:cstheme="minorHAnsi"/>
                <w:color w:val="000000"/>
                <w:sz w:val="16"/>
                <w:szCs w:val="16"/>
              </w:rPr>
            </w:pPr>
            <w:r w:rsidRPr="00460C52">
              <w:rPr>
                <w:rFonts w:asciiTheme="minorHAnsi" w:hAnsiTheme="minorHAnsi" w:cstheme="minorHAnsi"/>
                <w:color w:val="000000"/>
                <w:sz w:val="16"/>
                <w:szCs w:val="16"/>
              </w:rPr>
              <w:t>Aprovechamientos de Tipo Corriente</w:t>
            </w:r>
          </w:p>
        </w:tc>
        <w:tc>
          <w:tcPr>
            <w:tcW w:w="255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 </w:t>
            </w:r>
          </w:p>
        </w:tc>
        <w:tc>
          <w:tcPr>
            <w:tcW w:w="252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 </w:t>
            </w:r>
          </w:p>
        </w:tc>
        <w:tc>
          <w:tcPr>
            <w:tcW w:w="2235"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0.00</w:t>
            </w:r>
          </w:p>
        </w:tc>
      </w:tr>
      <w:tr w:rsidR="00223714" w:rsidRPr="00460C52" w:rsidTr="00223714">
        <w:trPr>
          <w:trHeight w:val="405"/>
        </w:trPr>
        <w:tc>
          <w:tcPr>
            <w:tcW w:w="5071" w:type="dxa"/>
            <w:tcBorders>
              <w:top w:val="nil"/>
              <w:left w:val="single" w:sz="8" w:space="0" w:color="auto"/>
              <w:bottom w:val="single" w:sz="8" w:space="0" w:color="auto"/>
              <w:right w:val="single" w:sz="8" w:space="0" w:color="auto"/>
            </w:tcBorders>
            <w:shd w:val="clear" w:color="auto" w:fill="auto"/>
            <w:noWrap/>
            <w:hideMark/>
          </w:tcPr>
          <w:p w:rsidR="00223714" w:rsidRPr="00460C52" w:rsidRDefault="00223714" w:rsidP="00223714">
            <w:pPr>
              <w:jc w:val="both"/>
              <w:rPr>
                <w:rFonts w:asciiTheme="minorHAnsi" w:hAnsiTheme="minorHAnsi" w:cstheme="minorHAnsi"/>
                <w:color w:val="000000"/>
                <w:sz w:val="16"/>
                <w:szCs w:val="16"/>
              </w:rPr>
            </w:pPr>
            <w:r w:rsidRPr="00460C52">
              <w:rPr>
                <w:rFonts w:asciiTheme="minorHAnsi" w:hAnsiTheme="minorHAnsi" w:cstheme="minorHAnsi"/>
                <w:color w:val="000000"/>
                <w:sz w:val="16"/>
                <w:szCs w:val="16"/>
              </w:rPr>
              <w:t>Ingresos por Venta de Bienes y Servicios</w:t>
            </w:r>
          </w:p>
        </w:tc>
        <w:tc>
          <w:tcPr>
            <w:tcW w:w="255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Pr>
                <w:rFonts w:asciiTheme="minorHAnsi" w:hAnsiTheme="minorHAnsi" w:cstheme="minorHAnsi"/>
                <w:color w:val="000000"/>
                <w:sz w:val="16"/>
                <w:szCs w:val="16"/>
              </w:rPr>
              <w:t>4,090,775.00</w:t>
            </w:r>
          </w:p>
        </w:tc>
        <w:tc>
          <w:tcPr>
            <w:tcW w:w="252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 </w:t>
            </w:r>
          </w:p>
        </w:tc>
        <w:tc>
          <w:tcPr>
            <w:tcW w:w="2235"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Pr>
                <w:rFonts w:asciiTheme="minorHAnsi" w:hAnsiTheme="minorHAnsi" w:cstheme="minorHAnsi"/>
                <w:color w:val="000000"/>
                <w:sz w:val="16"/>
                <w:szCs w:val="16"/>
              </w:rPr>
              <w:t>4,090,775.00</w:t>
            </w:r>
          </w:p>
        </w:tc>
      </w:tr>
      <w:tr w:rsidR="00223714" w:rsidRPr="00460C52" w:rsidTr="00223714">
        <w:trPr>
          <w:trHeight w:val="600"/>
        </w:trPr>
        <w:tc>
          <w:tcPr>
            <w:tcW w:w="5071" w:type="dxa"/>
            <w:tcBorders>
              <w:top w:val="nil"/>
              <w:left w:val="single" w:sz="8" w:space="0" w:color="auto"/>
              <w:bottom w:val="single" w:sz="8" w:space="0" w:color="auto"/>
              <w:right w:val="single" w:sz="8" w:space="0" w:color="auto"/>
            </w:tcBorders>
            <w:shd w:val="clear" w:color="auto" w:fill="auto"/>
            <w:noWrap/>
            <w:hideMark/>
          </w:tcPr>
          <w:p w:rsidR="00223714" w:rsidRPr="00460C52" w:rsidRDefault="00223714" w:rsidP="00223714">
            <w:pPr>
              <w:jc w:val="both"/>
              <w:rPr>
                <w:rFonts w:asciiTheme="minorHAnsi" w:hAnsiTheme="minorHAnsi" w:cstheme="minorHAnsi"/>
                <w:color w:val="000000"/>
                <w:sz w:val="16"/>
                <w:szCs w:val="16"/>
              </w:rPr>
            </w:pPr>
            <w:r w:rsidRPr="00460C52">
              <w:rPr>
                <w:rFonts w:asciiTheme="minorHAnsi" w:hAnsiTheme="minorHAnsi" w:cstheme="minorHAnsi"/>
                <w:color w:val="000000"/>
                <w:sz w:val="16"/>
                <w:szCs w:val="16"/>
              </w:rPr>
              <w:t>Transferencias, Asignaciones, Subsidios y Otras Ayudas</w:t>
            </w:r>
          </w:p>
        </w:tc>
        <w:tc>
          <w:tcPr>
            <w:tcW w:w="255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Pr>
                <w:rFonts w:asciiTheme="minorHAnsi" w:hAnsiTheme="minorHAnsi" w:cstheme="minorHAnsi"/>
                <w:color w:val="000000"/>
                <w:sz w:val="16"/>
                <w:szCs w:val="16"/>
              </w:rPr>
              <w:t>21,095,475</w:t>
            </w:r>
          </w:p>
        </w:tc>
        <w:tc>
          <w:tcPr>
            <w:tcW w:w="252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Pr>
                <w:rFonts w:asciiTheme="minorHAnsi" w:hAnsiTheme="minorHAnsi" w:cstheme="minorHAnsi"/>
                <w:color w:val="000000"/>
                <w:sz w:val="16"/>
                <w:szCs w:val="16"/>
              </w:rPr>
              <w:t>24,458,000.00</w:t>
            </w:r>
            <w:r w:rsidRPr="00460C52">
              <w:rPr>
                <w:rFonts w:asciiTheme="minorHAnsi" w:hAnsiTheme="minorHAnsi" w:cstheme="minorHAnsi"/>
                <w:color w:val="000000"/>
                <w:sz w:val="16"/>
                <w:szCs w:val="16"/>
              </w:rPr>
              <w:t> </w:t>
            </w:r>
          </w:p>
        </w:tc>
        <w:tc>
          <w:tcPr>
            <w:tcW w:w="2235"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Pr>
                <w:rFonts w:asciiTheme="minorHAnsi" w:hAnsiTheme="minorHAnsi" w:cstheme="minorHAnsi"/>
                <w:color w:val="000000"/>
                <w:sz w:val="16"/>
                <w:szCs w:val="16"/>
              </w:rPr>
              <w:t>45,553,475.00</w:t>
            </w:r>
          </w:p>
        </w:tc>
      </w:tr>
      <w:tr w:rsidR="00223714" w:rsidRPr="00460C52" w:rsidTr="00223714">
        <w:trPr>
          <w:trHeight w:val="211"/>
        </w:trPr>
        <w:tc>
          <w:tcPr>
            <w:tcW w:w="5071" w:type="dxa"/>
            <w:tcBorders>
              <w:top w:val="nil"/>
              <w:left w:val="single" w:sz="8" w:space="0" w:color="auto"/>
              <w:bottom w:val="single" w:sz="8" w:space="0" w:color="auto"/>
              <w:right w:val="single" w:sz="8" w:space="0" w:color="auto"/>
            </w:tcBorders>
            <w:shd w:val="clear" w:color="auto" w:fill="auto"/>
            <w:noWrap/>
            <w:hideMark/>
          </w:tcPr>
          <w:p w:rsidR="00223714" w:rsidRPr="00460C52" w:rsidRDefault="00223714" w:rsidP="00223714">
            <w:pPr>
              <w:jc w:val="both"/>
              <w:rPr>
                <w:rFonts w:asciiTheme="minorHAnsi" w:hAnsiTheme="minorHAnsi" w:cstheme="minorHAnsi"/>
                <w:color w:val="000000"/>
                <w:sz w:val="16"/>
                <w:szCs w:val="16"/>
              </w:rPr>
            </w:pPr>
            <w:r w:rsidRPr="00460C52">
              <w:rPr>
                <w:rFonts w:asciiTheme="minorHAnsi" w:hAnsiTheme="minorHAnsi" w:cstheme="minorHAnsi"/>
                <w:color w:val="000000"/>
                <w:sz w:val="16"/>
                <w:szCs w:val="16"/>
              </w:rPr>
              <w:t>Otros Ingresos y Beneficios</w:t>
            </w:r>
          </w:p>
        </w:tc>
        <w:tc>
          <w:tcPr>
            <w:tcW w:w="255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720,000.00 </w:t>
            </w:r>
          </w:p>
        </w:tc>
        <w:tc>
          <w:tcPr>
            <w:tcW w:w="252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 </w:t>
            </w:r>
          </w:p>
        </w:tc>
        <w:tc>
          <w:tcPr>
            <w:tcW w:w="2235"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color w:val="000000"/>
                <w:sz w:val="16"/>
                <w:szCs w:val="16"/>
              </w:rPr>
            </w:pPr>
            <w:r w:rsidRPr="00460C52">
              <w:rPr>
                <w:rFonts w:asciiTheme="minorHAnsi" w:hAnsiTheme="minorHAnsi" w:cstheme="minorHAnsi"/>
                <w:color w:val="000000"/>
                <w:sz w:val="16"/>
                <w:szCs w:val="16"/>
              </w:rPr>
              <w:t>720,000.00</w:t>
            </w:r>
          </w:p>
        </w:tc>
      </w:tr>
      <w:tr w:rsidR="00223714" w:rsidRPr="00460C52" w:rsidTr="00223714">
        <w:trPr>
          <w:trHeight w:val="211"/>
        </w:trPr>
        <w:tc>
          <w:tcPr>
            <w:tcW w:w="5071" w:type="dxa"/>
            <w:tcBorders>
              <w:top w:val="nil"/>
              <w:left w:val="single" w:sz="8" w:space="0" w:color="auto"/>
              <w:bottom w:val="single" w:sz="8" w:space="0" w:color="auto"/>
              <w:right w:val="single" w:sz="8" w:space="0" w:color="auto"/>
            </w:tcBorders>
            <w:shd w:val="clear" w:color="auto" w:fill="auto"/>
            <w:noWrap/>
            <w:hideMark/>
          </w:tcPr>
          <w:p w:rsidR="00223714" w:rsidRPr="00460C52" w:rsidRDefault="00223714" w:rsidP="00223714">
            <w:pPr>
              <w:jc w:val="both"/>
              <w:rPr>
                <w:rFonts w:asciiTheme="minorHAnsi" w:hAnsiTheme="minorHAnsi" w:cstheme="minorHAnsi"/>
                <w:color w:val="000000"/>
                <w:sz w:val="16"/>
                <w:szCs w:val="16"/>
              </w:rPr>
            </w:pPr>
            <w:r w:rsidRPr="00460C52">
              <w:rPr>
                <w:rFonts w:asciiTheme="minorHAnsi" w:hAnsiTheme="minorHAnsi" w:cstheme="minorHAnsi"/>
                <w:color w:val="000000"/>
                <w:sz w:val="16"/>
                <w:szCs w:val="16"/>
              </w:rPr>
              <w:t>TOTAL  DE INGRESOS</w:t>
            </w:r>
          </w:p>
        </w:tc>
        <w:tc>
          <w:tcPr>
            <w:tcW w:w="255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bCs/>
                <w:color w:val="000000"/>
                <w:sz w:val="16"/>
                <w:szCs w:val="16"/>
              </w:rPr>
            </w:pPr>
            <w:r>
              <w:rPr>
                <w:rFonts w:asciiTheme="minorHAnsi" w:hAnsiTheme="minorHAnsi" w:cstheme="minorHAnsi"/>
                <w:bCs/>
                <w:color w:val="000000"/>
                <w:sz w:val="16"/>
                <w:szCs w:val="16"/>
              </w:rPr>
              <w:t>25,906,250.00</w:t>
            </w:r>
          </w:p>
        </w:tc>
        <w:tc>
          <w:tcPr>
            <w:tcW w:w="2522"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bCs/>
                <w:color w:val="000000"/>
                <w:sz w:val="16"/>
                <w:szCs w:val="16"/>
              </w:rPr>
            </w:pPr>
            <w:r>
              <w:rPr>
                <w:rFonts w:asciiTheme="minorHAnsi" w:hAnsiTheme="minorHAnsi" w:cstheme="minorHAnsi"/>
                <w:bCs/>
                <w:color w:val="000000"/>
                <w:sz w:val="16"/>
                <w:szCs w:val="16"/>
              </w:rPr>
              <w:t>24,458,000.00</w:t>
            </w:r>
          </w:p>
        </w:tc>
        <w:tc>
          <w:tcPr>
            <w:tcW w:w="2235" w:type="dxa"/>
            <w:tcBorders>
              <w:top w:val="nil"/>
              <w:left w:val="nil"/>
              <w:bottom w:val="single" w:sz="8" w:space="0" w:color="auto"/>
              <w:right w:val="single" w:sz="8" w:space="0" w:color="auto"/>
            </w:tcBorders>
            <w:shd w:val="clear" w:color="auto" w:fill="auto"/>
            <w:noWrap/>
            <w:hideMark/>
          </w:tcPr>
          <w:p w:rsidR="00223714" w:rsidRPr="00460C52" w:rsidRDefault="00223714" w:rsidP="00223714">
            <w:pPr>
              <w:jc w:val="right"/>
              <w:rPr>
                <w:rFonts w:asciiTheme="minorHAnsi" w:hAnsiTheme="minorHAnsi" w:cstheme="minorHAnsi"/>
                <w:bCs/>
                <w:color w:val="000000"/>
                <w:sz w:val="16"/>
                <w:szCs w:val="16"/>
              </w:rPr>
            </w:pPr>
            <w:r>
              <w:rPr>
                <w:rFonts w:asciiTheme="minorHAnsi" w:hAnsiTheme="minorHAnsi" w:cstheme="minorHAnsi"/>
                <w:bCs/>
                <w:color w:val="000000"/>
                <w:sz w:val="16"/>
                <w:szCs w:val="16"/>
              </w:rPr>
              <w:t>50,364,250.00</w:t>
            </w:r>
          </w:p>
        </w:tc>
      </w:tr>
    </w:tbl>
    <w:p w:rsidR="0010523D" w:rsidRDefault="0010523D" w:rsidP="00A67440">
      <w:pPr>
        <w:spacing w:before="120" w:after="120" w:line="240" w:lineRule="exact"/>
        <w:jc w:val="both"/>
        <w:rPr>
          <w:rFonts w:ascii="Arial" w:eastAsia="Calibri" w:hAnsi="Arial" w:cs="Arial"/>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223714" w:rsidRDefault="00223714" w:rsidP="00223714">
      <w:pPr>
        <w:pStyle w:val="Prrafodelista"/>
        <w:spacing w:before="120" w:after="120" w:line="240" w:lineRule="exact"/>
        <w:jc w:val="both"/>
        <w:rPr>
          <w:rFonts w:ascii="Arial" w:eastAsia="Calibri" w:hAnsi="Arial" w:cs="Arial"/>
          <w:b/>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223714" w:rsidRPr="00545757" w:rsidRDefault="00545757" w:rsidP="00545757">
      <w:pPr>
        <w:pStyle w:val="Prrafodelista"/>
        <w:spacing w:before="120" w:after="120" w:line="240" w:lineRule="exact"/>
        <w:ind w:left="1440"/>
        <w:jc w:val="both"/>
        <w:rPr>
          <w:rFonts w:ascii="Arial" w:eastAsia="Calibri" w:hAnsi="Arial" w:cs="Arial"/>
          <w:b/>
          <w:spacing w:val="-1"/>
          <w:sz w:val="17"/>
          <w:szCs w:val="17"/>
        </w:rPr>
      </w:pPr>
      <w:r>
        <w:rPr>
          <w:rFonts w:ascii="Arial" w:eastAsia="Calibri" w:hAnsi="Arial" w:cs="Arial"/>
          <w:b/>
          <w:spacing w:val="-1"/>
          <w:sz w:val="17"/>
          <w:szCs w:val="17"/>
        </w:rPr>
        <w:t>No aplica en el periodo</w:t>
      </w:r>
    </w:p>
    <w:p w:rsidR="00A67440"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545757" w:rsidRPr="00545757" w:rsidRDefault="00545757" w:rsidP="00545757">
      <w:pPr>
        <w:pStyle w:val="Prrafodelista"/>
        <w:spacing w:before="120" w:after="120" w:line="240" w:lineRule="exact"/>
        <w:ind w:left="1440"/>
        <w:jc w:val="both"/>
        <w:rPr>
          <w:rFonts w:ascii="Arial" w:eastAsia="Calibri" w:hAnsi="Arial" w:cs="Arial"/>
          <w:b/>
          <w:spacing w:val="-1"/>
          <w:sz w:val="17"/>
          <w:szCs w:val="17"/>
        </w:rPr>
      </w:pPr>
      <w:r>
        <w:rPr>
          <w:rFonts w:ascii="Arial" w:eastAsia="Calibri" w:hAnsi="Arial" w:cs="Arial"/>
          <w:b/>
          <w:spacing w:val="-1"/>
          <w:sz w:val="17"/>
          <w:szCs w:val="17"/>
        </w:rPr>
        <w:t>No aplica en el periodo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545757" w:rsidRPr="00545757" w:rsidRDefault="00545757" w:rsidP="00545757">
      <w:pPr>
        <w:spacing w:before="120" w:after="120" w:line="240" w:lineRule="exact"/>
        <w:ind w:firstLine="360"/>
        <w:jc w:val="both"/>
        <w:rPr>
          <w:rFonts w:ascii="Arial" w:eastAsia="Calibri" w:hAnsi="Arial" w:cs="Arial"/>
          <w:b/>
          <w:spacing w:val="-1"/>
          <w:sz w:val="17"/>
          <w:szCs w:val="17"/>
        </w:rPr>
      </w:pPr>
      <w:r>
        <w:rPr>
          <w:rFonts w:ascii="Arial" w:eastAsia="Calibri" w:hAnsi="Arial" w:cs="Arial"/>
          <w:b/>
          <w:spacing w:val="-1"/>
          <w:sz w:val="17"/>
          <w:szCs w:val="17"/>
        </w:rPr>
        <w:t>No aplica en el periodo.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545757" w:rsidRPr="00545757" w:rsidRDefault="00545757" w:rsidP="00545757">
      <w:pPr>
        <w:spacing w:before="120" w:after="120" w:line="240" w:lineRule="exact"/>
        <w:ind w:left="705"/>
        <w:jc w:val="both"/>
        <w:rPr>
          <w:rFonts w:ascii="Arial" w:eastAsia="Calibri" w:hAnsi="Arial" w:cs="Arial"/>
          <w:b/>
          <w:spacing w:val="-1"/>
          <w:sz w:val="17"/>
          <w:szCs w:val="17"/>
        </w:rPr>
      </w:pPr>
      <w:r w:rsidRPr="00545757">
        <w:rPr>
          <w:rFonts w:ascii="Arial" w:eastAsia="Calibri" w:hAnsi="Arial" w:cs="Arial"/>
          <w:b/>
          <w:spacing w:val="-1"/>
          <w:sz w:val="17"/>
          <w:szCs w:val="17"/>
        </w:rPr>
        <w:t>A efectos de dar cumplimiento a lo establecido en la Ley General de Contabilidad Gubernamental, el Instituto de la Vivienda realizó  adecuaciones  en sus procesos, así como en su estructura organizacional, contable y presupuestal.</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545757" w:rsidRPr="00545757" w:rsidRDefault="00545757" w:rsidP="00545757">
      <w:pPr>
        <w:spacing w:before="120" w:after="120" w:line="240" w:lineRule="exact"/>
        <w:ind w:left="709"/>
        <w:jc w:val="both"/>
        <w:rPr>
          <w:rFonts w:ascii="Arial" w:eastAsia="Calibri" w:hAnsi="Arial" w:cs="Arial"/>
          <w:b/>
          <w:spacing w:val="-1"/>
          <w:sz w:val="17"/>
          <w:szCs w:val="17"/>
        </w:rPr>
      </w:pPr>
      <w:r w:rsidRPr="00545757">
        <w:rPr>
          <w:rFonts w:ascii="Arial" w:hAnsi="Arial" w:cs="Arial"/>
          <w:b/>
          <w:sz w:val="17"/>
          <w:szCs w:val="17"/>
        </w:rPr>
        <w:t>El Instituto de la Vivienda  está investigando sobre un nuevo sistema de contabilidad a efectos de poder generar  en tiempo  real toda aquella  información que coadyuvará en la toma de decisiones de forma oportuna  y se traducirá en un  mejor desempeño  financiero y de transparencia.</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545757" w:rsidRPr="00545757" w:rsidRDefault="00545757" w:rsidP="00A67440">
      <w:pPr>
        <w:spacing w:before="120" w:after="120" w:line="240" w:lineRule="exact"/>
        <w:jc w:val="both"/>
        <w:rPr>
          <w:rFonts w:ascii="Arial" w:eastAsia="Calibri" w:hAnsi="Arial" w:cs="Arial"/>
          <w:b/>
          <w:spacing w:val="-1"/>
          <w:sz w:val="17"/>
          <w:szCs w:val="17"/>
        </w:rPr>
      </w:pPr>
      <w:r>
        <w:rPr>
          <w:rFonts w:ascii="Arial" w:eastAsia="Calibri" w:hAnsi="Arial" w:cs="Arial"/>
          <w:spacing w:val="-1"/>
          <w:sz w:val="17"/>
          <w:szCs w:val="17"/>
        </w:rPr>
        <w:tab/>
      </w:r>
      <w:r>
        <w:rPr>
          <w:rFonts w:ascii="Arial" w:eastAsia="Calibri" w:hAnsi="Arial" w:cs="Arial"/>
          <w:b/>
          <w:spacing w:val="-1"/>
          <w:sz w:val="17"/>
          <w:szCs w:val="17"/>
        </w:rPr>
        <w:t>No aplica en el periodo.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Default="00545757" w:rsidP="00A67440">
      <w:pPr>
        <w:spacing w:before="120" w:after="120" w:line="240" w:lineRule="exact"/>
        <w:jc w:val="both"/>
        <w:rPr>
          <w:rFonts w:ascii="Arial" w:eastAsia="Calibri" w:hAnsi="Arial" w:cs="Arial"/>
          <w:b/>
          <w:spacing w:val="-1"/>
          <w:sz w:val="17"/>
          <w:szCs w:val="17"/>
        </w:rPr>
      </w:pPr>
      <w:r>
        <w:rPr>
          <w:rFonts w:ascii="Arial" w:eastAsia="Calibri" w:hAnsi="Arial" w:cs="Arial"/>
          <w:spacing w:val="-1"/>
          <w:sz w:val="17"/>
          <w:szCs w:val="17"/>
        </w:rPr>
        <w:tab/>
      </w:r>
      <w:r>
        <w:rPr>
          <w:rFonts w:ascii="Arial" w:eastAsia="Calibri" w:hAnsi="Arial" w:cs="Arial"/>
          <w:b/>
          <w:spacing w:val="-1"/>
          <w:sz w:val="17"/>
          <w:szCs w:val="17"/>
        </w:rPr>
        <w:t>No aplica en el periodo.</w:t>
      </w:r>
    </w:p>
    <w:p w:rsidR="00545757" w:rsidRDefault="00545757" w:rsidP="00A67440">
      <w:pPr>
        <w:spacing w:before="120" w:after="120" w:line="240" w:lineRule="exact"/>
        <w:jc w:val="both"/>
        <w:rPr>
          <w:rFonts w:ascii="Arial" w:eastAsia="Calibri" w:hAnsi="Arial" w:cs="Arial"/>
          <w:b/>
          <w:spacing w:val="-1"/>
          <w:sz w:val="17"/>
          <w:szCs w:val="17"/>
        </w:rPr>
      </w:pPr>
    </w:p>
    <w:p w:rsidR="00545757" w:rsidRPr="00A67440" w:rsidRDefault="00545757"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Partes Relacionadas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545757" w:rsidRPr="00A67440" w:rsidRDefault="0054575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b/>
      </w:r>
      <w:r>
        <w:rPr>
          <w:rFonts w:ascii="Arial" w:eastAsia="Calibri" w:hAnsi="Arial" w:cs="Arial"/>
          <w:b/>
          <w:spacing w:val="-1"/>
          <w:sz w:val="17"/>
          <w:szCs w:val="17"/>
        </w:rPr>
        <w:t>No aplica en el periodo.</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bookmarkStart w:id="6" w:name="_GoBack"/>
            <w:bookmarkEnd w:id="6"/>
          </w:p>
        </w:tc>
      </w:tr>
      <w:tr w:rsidR="0027301B"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27301B" w:rsidRPr="002D70DA" w:rsidRDefault="0027301B" w:rsidP="00545757">
            <w:pPr>
              <w:jc w:val="center"/>
              <w:rPr>
                <w:rFonts w:ascii="Arial" w:hAnsi="Arial" w:cs="Arial"/>
                <w:color w:val="000000"/>
                <w:sz w:val="17"/>
                <w:szCs w:val="17"/>
              </w:rPr>
            </w:pPr>
            <w:r>
              <w:rPr>
                <w:rFonts w:ascii="Arial" w:hAnsi="Arial" w:cs="Arial"/>
                <w:color w:val="000000"/>
                <w:sz w:val="17"/>
                <w:szCs w:val="17"/>
              </w:rPr>
              <w:t>German Borja García</w:t>
            </w:r>
          </w:p>
        </w:tc>
        <w:tc>
          <w:tcPr>
            <w:tcW w:w="280" w:type="dxa"/>
            <w:tcBorders>
              <w:top w:val="nil"/>
              <w:left w:val="nil"/>
              <w:bottom w:val="nil"/>
              <w:right w:val="nil"/>
            </w:tcBorders>
            <w:shd w:val="clear" w:color="000000" w:fill="FFFFFF"/>
            <w:noWrap/>
            <w:vAlign w:val="bottom"/>
          </w:tcPr>
          <w:p w:rsidR="0027301B" w:rsidRPr="002D70DA" w:rsidRDefault="0027301B">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27301B" w:rsidRPr="002D70DA" w:rsidRDefault="0027301B">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27301B" w:rsidRPr="002D70DA" w:rsidRDefault="0027301B" w:rsidP="00496A18">
            <w:pPr>
              <w:jc w:val="center"/>
              <w:rPr>
                <w:rFonts w:ascii="Arial" w:hAnsi="Arial" w:cs="Arial"/>
                <w:color w:val="000000"/>
                <w:sz w:val="17"/>
                <w:szCs w:val="17"/>
              </w:rPr>
            </w:pPr>
            <w:r>
              <w:rPr>
                <w:rFonts w:ascii="Arial" w:hAnsi="Arial" w:cs="Arial"/>
                <w:color w:val="000000"/>
                <w:sz w:val="17"/>
                <w:szCs w:val="17"/>
              </w:rPr>
              <w:t>Salvador Martínez Rivas</w:t>
            </w:r>
          </w:p>
        </w:tc>
      </w:tr>
      <w:tr w:rsidR="0027301B" w:rsidRPr="002D70DA" w:rsidTr="00195F8A">
        <w:trPr>
          <w:trHeight w:val="300"/>
        </w:trPr>
        <w:tc>
          <w:tcPr>
            <w:tcW w:w="5840" w:type="dxa"/>
            <w:tcBorders>
              <w:top w:val="nil"/>
              <w:left w:val="nil"/>
              <w:bottom w:val="nil"/>
              <w:right w:val="nil"/>
            </w:tcBorders>
            <w:shd w:val="clear" w:color="000000" w:fill="FFFFFF"/>
            <w:hideMark/>
          </w:tcPr>
          <w:p w:rsidR="0027301B" w:rsidRPr="002D70DA" w:rsidRDefault="0027301B" w:rsidP="0027301B">
            <w:pPr>
              <w:jc w:val="center"/>
              <w:rPr>
                <w:rFonts w:ascii="Arial" w:hAnsi="Arial" w:cs="Arial"/>
                <w:sz w:val="17"/>
                <w:szCs w:val="17"/>
              </w:rPr>
            </w:pPr>
            <w:r>
              <w:rPr>
                <w:rFonts w:ascii="Arial" w:hAnsi="Arial" w:cs="Arial"/>
                <w:sz w:val="17"/>
                <w:szCs w:val="17"/>
              </w:rPr>
              <w:t>Director General.</w:t>
            </w:r>
          </w:p>
        </w:tc>
        <w:tc>
          <w:tcPr>
            <w:tcW w:w="280" w:type="dxa"/>
            <w:tcBorders>
              <w:top w:val="nil"/>
              <w:left w:val="nil"/>
              <w:bottom w:val="nil"/>
              <w:right w:val="nil"/>
            </w:tcBorders>
            <w:shd w:val="clear" w:color="000000" w:fill="FFFFFF"/>
            <w:noWrap/>
            <w:vAlign w:val="bottom"/>
          </w:tcPr>
          <w:p w:rsidR="0027301B" w:rsidRPr="002D70DA" w:rsidRDefault="0027301B">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27301B" w:rsidRPr="002D70DA" w:rsidRDefault="0027301B">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27301B" w:rsidRPr="002D70DA" w:rsidRDefault="0027301B" w:rsidP="00496A18">
            <w:pPr>
              <w:jc w:val="center"/>
              <w:rPr>
                <w:rFonts w:ascii="Arial" w:hAnsi="Arial" w:cs="Arial"/>
                <w:sz w:val="17"/>
                <w:szCs w:val="17"/>
              </w:rPr>
            </w:pPr>
            <w:r>
              <w:rPr>
                <w:rFonts w:ascii="Arial" w:hAnsi="Arial" w:cs="Arial"/>
                <w:sz w:val="17"/>
                <w:szCs w:val="17"/>
              </w:rPr>
              <w:t>Director de Finanzas y Administración.</w:t>
            </w:r>
          </w:p>
        </w:tc>
      </w:tr>
    </w:tbl>
    <w:p w:rsidR="0037658D" w:rsidRDefault="0037658D" w:rsidP="002533F7">
      <w:pPr>
        <w:rPr>
          <w:rFonts w:ascii="Arial" w:hAnsi="Arial" w:cs="Arial"/>
          <w:b/>
          <w:sz w:val="17"/>
          <w:szCs w:val="17"/>
        </w:rPr>
      </w:pPr>
    </w:p>
    <w:sectPr w:rsidR="0037658D" w:rsidSect="00584F3B">
      <w:headerReference w:type="even" r:id="rId15"/>
      <w:headerReference w:type="default" r:id="rId16"/>
      <w:footerReference w:type="even" r:id="rId17"/>
      <w:footerReference w:type="default" r:id="rId18"/>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37" w:rsidRDefault="004E3B37">
      <w:r>
        <w:separator/>
      </w:r>
    </w:p>
  </w:endnote>
  <w:endnote w:type="continuationSeparator" w:id="0">
    <w:p w:rsidR="004E3B37" w:rsidRDefault="004E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A8" w:rsidRPr="00CF00D0" w:rsidRDefault="000639A8"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511020FE" wp14:editId="72CE9FEA">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7301B">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7301B">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p w:rsidR="000639A8" w:rsidRPr="00813029" w:rsidRDefault="000639A8"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A8" w:rsidRPr="00CF00D0" w:rsidRDefault="000639A8"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75C2D596" wp14:editId="4E88C59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7301B">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7301B">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37" w:rsidRDefault="004E3B37">
      <w:r>
        <w:separator/>
      </w:r>
    </w:p>
  </w:footnote>
  <w:footnote w:type="continuationSeparator" w:id="0">
    <w:p w:rsidR="004E3B37" w:rsidRDefault="004E3B37">
      <w:r>
        <w:continuationSeparator/>
      </w:r>
    </w:p>
  </w:footnote>
  <w:footnote w:id="1">
    <w:p w:rsidR="000639A8" w:rsidRPr="000008C2" w:rsidRDefault="000639A8">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A8" w:rsidRPr="002809DB" w:rsidRDefault="000639A8"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9A8" w:rsidRPr="00CF00D0" w:rsidRDefault="000639A8"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639A8" w:rsidRPr="00CF00D0" w:rsidRDefault="000639A8"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9A8" w:rsidRPr="00CF00D0" w:rsidRDefault="000639A8"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639A8" w:rsidRPr="00CF00D0" w:rsidRDefault="000639A8"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639A8" w:rsidRPr="00CF00D0" w:rsidRDefault="000639A8"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639A8" w:rsidRPr="00CF00D0" w:rsidRDefault="000639A8"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A8" w:rsidRPr="00CF00D0" w:rsidRDefault="000639A8"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779AB55" wp14:editId="21AEAB74">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INSTITUTO DE LA VIVIENDA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2F3F"/>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9A8"/>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85743"/>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30AB"/>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2F4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3714"/>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46DE5"/>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01B"/>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6768F"/>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9749B"/>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57EC5"/>
    <w:rsid w:val="004600B2"/>
    <w:rsid w:val="00462BB9"/>
    <w:rsid w:val="0046346C"/>
    <w:rsid w:val="00463616"/>
    <w:rsid w:val="00463882"/>
    <w:rsid w:val="00464499"/>
    <w:rsid w:val="00466290"/>
    <w:rsid w:val="004666AD"/>
    <w:rsid w:val="004671AB"/>
    <w:rsid w:val="00471062"/>
    <w:rsid w:val="004767C3"/>
    <w:rsid w:val="00484DCB"/>
    <w:rsid w:val="00485520"/>
    <w:rsid w:val="00487A33"/>
    <w:rsid w:val="0049432F"/>
    <w:rsid w:val="00494785"/>
    <w:rsid w:val="00495D64"/>
    <w:rsid w:val="00497797"/>
    <w:rsid w:val="004A0C97"/>
    <w:rsid w:val="004A1368"/>
    <w:rsid w:val="004A1C34"/>
    <w:rsid w:val="004A6232"/>
    <w:rsid w:val="004B147A"/>
    <w:rsid w:val="004B3341"/>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B3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757"/>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3434"/>
    <w:rsid w:val="00584F3B"/>
    <w:rsid w:val="00585030"/>
    <w:rsid w:val="0058548B"/>
    <w:rsid w:val="00585A8E"/>
    <w:rsid w:val="00585D03"/>
    <w:rsid w:val="00586736"/>
    <w:rsid w:val="005877F3"/>
    <w:rsid w:val="00590576"/>
    <w:rsid w:val="00591C41"/>
    <w:rsid w:val="00591C96"/>
    <w:rsid w:val="0059234B"/>
    <w:rsid w:val="005925BD"/>
    <w:rsid w:val="005929FF"/>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68C6"/>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97A5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4310"/>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58C5"/>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64D"/>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52DB"/>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468E"/>
    <w:rsid w:val="00B95E17"/>
    <w:rsid w:val="00B9610C"/>
    <w:rsid w:val="00BA0780"/>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5683F"/>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47A2F"/>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5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48BA"/>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0E5B"/>
    <w:rsid w:val="00F11ED4"/>
    <w:rsid w:val="00F12E52"/>
    <w:rsid w:val="00F151E8"/>
    <w:rsid w:val="00F1578E"/>
    <w:rsid w:val="00F162EE"/>
    <w:rsid w:val="00F163C4"/>
    <w:rsid w:val="00F20D97"/>
    <w:rsid w:val="00F213AB"/>
    <w:rsid w:val="00F24D7B"/>
    <w:rsid w:val="00F25EDE"/>
    <w:rsid w:val="00F2702C"/>
    <w:rsid w:val="00F27559"/>
    <w:rsid w:val="00F279D8"/>
    <w:rsid w:val="00F31F81"/>
    <w:rsid w:val="00F32450"/>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604"/>
    <w:rsid w:val="00F838FF"/>
    <w:rsid w:val="00F859C6"/>
    <w:rsid w:val="00F864B8"/>
    <w:rsid w:val="00F87C4E"/>
    <w:rsid w:val="00F87C73"/>
    <w:rsid w:val="00F9156E"/>
    <w:rsid w:val="00F92542"/>
    <w:rsid w:val="00F94113"/>
    <w:rsid w:val="00F94658"/>
    <w:rsid w:val="00F94861"/>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B3E31CA2-B8A3-41DA-8CAB-E3C2F1B0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40</Pages>
  <Words>9998</Words>
  <Characters>54994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conta1</cp:lastModifiedBy>
  <cp:revision>9</cp:revision>
  <cp:lastPrinted>2018-02-01T16:15:00Z</cp:lastPrinted>
  <dcterms:created xsi:type="dcterms:W3CDTF">2018-01-30T17:29:00Z</dcterms:created>
  <dcterms:modified xsi:type="dcterms:W3CDTF">2018-02-01T17:58:00Z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