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3E7A1F" w:rsidRPr="002D70DA">
        <w:rPr>
          <w:rFonts w:ascii="Arial" w:hAnsi="Arial" w:cs="Arial"/>
          <w:b/>
          <w:sz w:val="17"/>
          <w:szCs w:val="17"/>
        </w:rPr>
        <w:t>ente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6D" w:rsidRPr="00E4336D" w:rsidRDefault="00E433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4336D">
              <w:rPr>
                <w:rFonts w:ascii="Calibri" w:hAnsi="Calibri"/>
                <w:b/>
                <w:sz w:val="18"/>
                <w:szCs w:val="18"/>
              </w:rPr>
              <w:t>NO APLICA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654B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54B0">
              <w:rPr>
                <w:rFonts w:ascii="Arial" w:hAnsi="Arial" w:cs="Arial"/>
                <w:color w:val="000000"/>
                <w:sz w:val="17"/>
                <w:szCs w:val="17"/>
              </w:rPr>
              <w:t>Lic. Álvaro Robles Castañón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4B0" w:rsidRDefault="00C654B0" w:rsidP="00C654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195F8A" w:rsidRPr="002D70DA" w:rsidRDefault="00C654B0" w:rsidP="00C654B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54B0">
              <w:rPr>
                <w:rFonts w:ascii="Arial" w:hAnsi="Arial" w:cs="Arial"/>
                <w:color w:val="000000"/>
                <w:sz w:val="17"/>
                <w:szCs w:val="17"/>
              </w:rPr>
              <w:t>C.P. Afra Isolda Del Carmen Hernandez Sosa</w:t>
            </w:r>
          </w:p>
        </w:tc>
      </w:tr>
      <w:tr w:rsidR="00195F8A" w:rsidRPr="002D70DA" w:rsidTr="00C654B0">
        <w:trPr>
          <w:trHeight w:val="621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4B0" w:rsidRPr="00C654B0" w:rsidRDefault="00C654B0" w:rsidP="00C654B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654B0">
              <w:rPr>
                <w:rFonts w:ascii="Arial" w:hAnsi="Arial" w:cs="Arial"/>
                <w:sz w:val="17"/>
                <w:szCs w:val="17"/>
              </w:rPr>
              <w:t xml:space="preserve">Secretario Técnico de la Secretaría Ejecutiva del </w:t>
            </w:r>
          </w:p>
          <w:p w:rsidR="00195F8A" w:rsidRPr="002D70DA" w:rsidRDefault="00C654B0" w:rsidP="00C654B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654B0">
              <w:rPr>
                <w:rFonts w:ascii="Arial" w:hAnsi="Arial" w:cs="Arial"/>
                <w:sz w:val="17"/>
                <w:szCs w:val="17"/>
              </w:rPr>
              <w:t>Sistema Estatal Anticorrupción de Querétaro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C654B0" w:rsidRDefault="00C654B0" w:rsidP="00C654B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54B0">
              <w:rPr>
                <w:rFonts w:ascii="Arial" w:hAnsi="Arial" w:cs="Arial"/>
                <w:color w:val="000000"/>
                <w:sz w:val="17"/>
                <w:szCs w:val="17"/>
              </w:rPr>
              <w:t xml:space="preserve">Coordinador Administrativo de la Secretaría Ejecutiva del </w:t>
            </w:r>
            <w:r w:rsidRPr="00C654B0">
              <w:rPr>
                <w:rFonts w:ascii="Arial" w:hAnsi="Arial" w:cs="Arial"/>
                <w:color w:val="000000"/>
                <w:sz w:val="17"/>
                <w:szCs w:val="17"/>
              </w:rPr>
              <w:br/>
              <w:t>Sistema Estatal Anticorrupción de Querétaro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FB" w:rsidRDefault="00580BFB">
      <w:r>
        <w:separator/>
      </w:r>
    </w:p>
  </w:endnote>
  <w:endnote w:type="continuationSeparator" w:id="0">
    <w:p w:rsidR="00580BFB" w:rsidRDefault="0058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D2BB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D2BB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D2BBC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D2BB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FB" w:rsidRDefault="00580BFB">
      <w:r>
        <w:separator/>
      </w:r>
    </w:p>
  </w:footnote>
  <w:footnote w:type="continuationSeparator" w:id="0">
    <w:p w:rsidR="00580BFB" w:rsidRDefault="0058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E4336D" w:rsidRDefault="00E4336D" w:rsidP="00E4336D">
    <w:pPr>
      <w:pStyle w:val="Encabezado"/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                                                             </w:t>
    </w:r>
    <w:r w:rsidRPr="00E4336D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Secretaria Ejecutiva del Sistema Estatal Anticorrupción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1E3E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BFB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977AA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54B0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2BBC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336D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DC3BFB8-9F71-483A-9DC3-2051D67B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SEA QUERETARO PC1</cp:lastModifiedBy>
  <cp:revision>2</cp:revision>
  <cp:lastPrinted>2014-03-13T03:19:00Z</cp:lastPrinted>
  <dcterms:created xsi:type="dcterms:W3CDTF">2018-02-15T14:17:00Z</dcterms:created>
  <dcterms:modified xsi:type="dcterms:W3CDTF">2018-02-15T14:17:00Z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