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17F" w:rsidRPr="002D70DA" w:rsidRDefault="00924C30" w:rsidP="00AC717F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</w:t>
      </w:r>
      <w:r w:rsidR="00AC717F">
        <w:rPr>
          <w:rFonts w:ascii="Arial" w:hAnsi="Arial" w:cs="Arial"/>
          <w:b/>
          <w:sz w:val="17"/>
          <w:szCs w:val="17"/>
        </w:rPr>
        <w:t>AL PODER LEGISLATIVO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7"/>
        <w:gridCol w:w="3919"/>
        <w:gridCol w:w="3922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AC717F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PARTICIPACIONES FEDERALES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AC717F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BANORTE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AC717F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0568013131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AC717F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PARTICIPACIONES FEDERALES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AC717F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BANORTE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AC717F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0361594325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C82267" w:rsidRDefault="00C82267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C82267" w:rsidRDefault="00C82267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C82267" w:rsidRDefault="00C82267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C82267" w:rsidRDefault="00C82267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C82267" w:rsidRDefault="00C82267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C82267" w:rsidRPr="002D70DA" w:rsidRDefault="00C82267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C82267" w:rsidRPr="002D70DA" w:rsidTr="00B71CFF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2267" w:rsidRPr="002D70DA" w:rsidRDefault="00C82267" w:rsidP="00B71C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bookmarkStart w:id="0" w:name="OLE_LINK1"/>
            <w:bookmarkStart w:id="1" w:name="OLE_LINK2"/>
            <w:bookmarkStart w:id="2" w:name="OLE_LINK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2267" w:rsidRPr="002D70DA" w:rsidRDefault="00C82267" w:rsidP="00B71CF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2267" w:rsidRPr="002D70DA" w:rsidRDefault="00C82267" w:rsidP="00B71CF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2267" w:rsidRPr="002D70DA" w:rsidRDefault="00C82267" w:rsidP="00B71C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82267" w:rsidRPr="002D70DA" w:rsidTr="00B71CFF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67" w:rsidRPr="002D70DA" w:rsidRDefault="00C82267" w:rsidP="00B71CF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Dip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 Eric Salas González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2267" w:rsidRPr="002D70DA" w:rsidRDefault="00C82267" w:rsidP="00B71CF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2267" w:rsidRPr="002D70DA" w:rsidRDefault="00C82267" w:rsidP="00B71CF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67" w:rsidRPr="002D70DA" w:rsidRDefault="00C82267" w:rsidP="00B71CF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Jorge López Crespo</w:t>
            </w:r>
          </w:p>
        </w:tc>
      </w:tr>
      <w:tr w:rsidR="00C82267" w:rsidRPr="002D70DA" w:rsidTr="00B71CFF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2267" w:rsidRPr="002D70DA" w:rsidRDefault="00C82267" w:rsidP="00B71C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Presidente Comisión De Planeación Y Presupuesto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2267" w:rsidRPr="002D70DA" w:rsidRDefault="00C82267" w:rsidP="00B71CF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2267" w:rsidRPr="002D70DA" w:rsidRDefault="00C82267" w:rsidP="00B71CF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2267" w:rsidRPr="002D70DA" w:rsidRDefault="00C82267" w:rsidP="00B71C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De Servicios Financieros</w:t>
            </w:r>
          </w:p>
        </w:tc>
      </w:tr>
      <w:bookmarkEnd w:id="0"/>
      <w:bookmarkEnd w:id="1"/>
      <w:bookmarkEnd w:id="2"/>
    </w:tbl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  <w:bookmarkStart w:id="3" w:name="_GoBack"/>
      <w:bookmarkEnd w:id="3"/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FE5" w:rsidRDefault="006F2FE5">
      <w:r>
        <w:separator/>
      </w:r>
    </w:p>
  </w:endnote>
  <w:endnote w:type="continuationSeparator" w:id="0">
    <w:p w:rsidR="006F2FE5" w:rsidRDefault="006F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0925C8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0925C8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0925C8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0925C8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FE5" w:rsidRDefault="006F2FE5">
      <w:r>
        <w:separator/>
      </w:r>
    </w:p>
  </w:footnote>
  <w:footnote w:type="continuationSeparator" w:id="0">
    <w:p w:rsidR="006F2FE5" w:rsidRDefault="006F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AC717F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PODER LEGISLATIVO DEL ESTADO DE QUERÉTARO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5C8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2F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2853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C717F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267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DF03A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644491D-9269-49D8-8801-BB816C87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Maria Guadalupe Cepeda Sosa</cp:lastModifiedBy>
  <cp:revision>5</cp:revision>
  <cp:lastPrinted>2014-03-13T03:19:00Z</cp:lastPrinted>
  <dcterms:created xsi:type="dcterms:W3CDTF">2018-02-16T00:44:00Z</dcterms:created>
  <dcterms:modified xsi:type="dcterms:W3CDTF">2018-02-16T00:52:00Z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