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bookmarkStart w:id="0" w:name="_GoBack"/>
      <w:bookmarkEnd w:id="0"/>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CB26C7" w:rsidRPr="00CB26C7">
        <w:rPr>
          <w:rFonts w:ascii="Arial" w:hAnsi="Arial" w:cs="Arial"/>
          <w:b/>
          <w:sz w:val="17"/>
          <w:szCs w:val="17"/>
        </w:rPr>
        <w:t>GOBIERNO ESTATAL 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582811">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81239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81239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81239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812398">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81239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 xml:space="preserve">la integración del rubro efectivo y equivalentes en posición del </w:t>
      </w:r>
      <w:r w:rsidR="00CB26C7">
        <w:rPr>
          <w:rFonts w:ascii="Arial" w:eastAsia="Calibri" w:hAnsi="Arial" w:cs="Arial"/>
          <w:spacing w:val="-1"/>
          <w:sz w:val="17"/>
          <w:szCs w:val="17"/>
        </w:rPr>
        <w:t>G</w:t>
      </w:r>
      <w:r w:rsidR="00CB26C7" w:rsidRPr="00CB26C7">
        <w:rPr>
          <w:rFonts w:ascii="Arial" w:eastAsia="Calibri" w:hAnsi="Arial" w:cs="Arial"/>
          <w:spacing w:val="-1"/>
          <w:sz w:val="17"/>
          <w:szCs w:val="17"/>
        </w:rPr>
        <w:t xml:space="preserve">obierno </w:t>
      </w:r>
      <w:r w:rsidR="00CB26C7">
        <w:rPr>
          <w:rFonts w:ascii="Arial" w:eastAsia="Calibri" w:hAnsi="Arial" w:cs="Arial"/>
          <w:spacing w:val="-1"/>
          <w:sz w:val="17"/>
          <w:szCs w:val="17"/>
        </w:rPr>
        <w:t>E</w:t>
      </w:r>
      <w:r w:rsidR="00CB26C7" w:rsidRPr="00CB26C7">
        <w:rPr>
          <w:rFonts w:ascii="Arial" w:eastAsia="Calibri" w:hAnsi="Arial" w:cs="Arial"/>
          <w:spacing w:val="-1"/>
          <w:sz w:val="17"/>
          <w:szCs w:val="17"/>
        </w:rPr>
        <w:t xml:space="preserve">statal de </w:t>
      </w:r>
      <w:r w:rsidR="00CB26C7">
        <w:rPr>
          <w:rFonts w:ascii="Arial" w:eastAsia="Calibri" w:hAnsi="Arial" w:cs="Arial"/>
          <w:spacing w:val="-1"/>
          <w:sz w:val="17"/>
          <w:szCs w:val="17"/>
        </w:rPr>
        <w:t>Q</w:t>
      </w:r>
      <w:r w:rsidR="00CB26C7" w:rsidRPr="00CB26C7">
        <w:rPr>
          <w:rFonts w:ascii="Arial" w:eastAsia="Calibri" w:hAnsi="Arial" w:cs="Arial"/>
          <w:spacing w:val="-1"/>
          <w:sz w:val="17"/>
          <w:szCs w:val="17"/>
        </w:rPr>
        <w:t>uerétaro</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B445C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582811" w:rsidP="001A0060">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582811" w:rsidP="001A0060">
            <w:pPr>
              <w:jc w:val="center"/>
              <w:rPr>
                <w:rFonts w:ascii="Arial" w:hAnsi="Arial" w:cs="Arial"/>
                <w:b/>
                <w:bCs/>
                <w:color w:val="000000"/>
                <w:sz w:val="17"/>
                <w:szCs w:val="17"/>
              </w:rPr>
            </w:pPr>
            <w:r>
              <w:rPr>
                <w:rFonts w:ascii="Arial" w:hAnsi="Arial" w:cs="Arial"/>
                <w:b/>
                <w:bCs/>
                <w:color w:val="000000"/>
                <w:sz w:val="17"/>
                <w:szCs w:val="17"/>
              </w:rPr>
              <w:t>2016</w:t>
            </w:r>
          </w:p>
        </w:tc>
      </w:tr>
      <w:tr w:rsidR="00582811"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2811" w:rsidRPr="009D4479" w:rsidRDefault="00582811" w:rsidP="00582811">
            <w:pPr>
              <w:rPr>
                <w:rFonts w:ascii="Arial" w:hAnsi="Arial" w:cs="Arial"/>
                <w:sz w:val="17"/>
                <w:szCs w:val="17"/>
              </w:rPr>
            </w:pPr>
            <w:r w:rsidRPr="009D4479">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582811" w:rsidRPr="00582811" w:rsidRDefault="00582811" w:rsidP="00582811">
            <w:pPr>
              <w:jc w:val="right"/>
              <w:rPr>
                <w:rFonts w:ascii="Arial" w:hAnsi="Arial" w:cs="Arial"/>
                <w:sz w:val="17"/>
                <w:szCs w:val="17"/>
              </w:rPr>
            </w:pPr>
            <w:r w:rsidRPr="00582811">
              <w:rPr>
                <w:rFonts w:ascii="Arial" w:hAnsi="Arial" w:cs="Arial"/>
                <w:sz w:val="17"/>
                <w:szCs w:val="17"/>
              </w:rPr>
              <w:t xml:space="preserve">352,576 </w:t>
            </w:r>
          </w:p>
        </w:tc>
        <w:tc>
          <w:tcPr>
            <w:tcW w:w="2180" w:type="dxa"/>
            <w:tcBorders>
              <w:top w:val="single" w:sz="4" w:space="0" w:color="auto"/>
              <w:left w:val="nil"/>
              <w:bottom w:val="single" w:sz="4" w:space="0" w:color="auto"/>
              <w:right w:val="single" w:sz="4" w:space="0" w:color="auto"/>
            </w:tcBorders>
            <w:shd w:val="clear" w:color="auto" w:fill="auto"/>
          </w:tcPr>
          <w:p w:rsidR="00582811" w:rsidRPr="00582811" w:rsidRDefault="00582811" w:rsidP="00582811">
            <w:pPr>
              <w:jc w:val="right"/>
              <w:rPr>
                <w:rFonts w:ascii="Arial" w:hAnsi="Arial" w:cs="Arial"/>
                <w:sz w:val="17"/>
                <w:szCs w:val="17"/>
              </w:rPr>
            </w:pPr>
            <w:r w:rsidRPr="00582811">
              <w:rPr>
                <w:rFonts w:ascii="Arial" w:hAnsi="Arial" w:cs="Arial"/>
                <w:sz w:val="17"/>
                <w:szCs w:val="17"/>
              </w:rPr>
              <w:t xml:space="preserve">2,666,513 </w:t>
            </w:r>
          </w:p>
        </w:tc>
      </w:tr>
      <w:tr w:rsidR="00582811"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2811" w:rsidRPr="009D4479" w:rsidRDefault="00582811" w:rsidP="00582811">
            <w:pPr>
              <w:rPr>
                <w:rFonts w:ascii="Arial" w:hAnsi="Arial" w:cs="Arial"/>
                <w:sz w:val="17"/>
                <w:szCs w:val="17"/>
              </w:rPr>
            </w:pPr>
            <w:r w:rsidRPr="009D4479">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582811" w:rsidRPr="00582811" w:rsidRDefault="00582811" w:rsidP="00582811">
            <w:pPr>
              <w:jc w:val="right"/>
              <w:rPr>
                <w:rFonts w:ascii="Arial" w:hAnsi="Arial" w:cs="Arial"/>
                <w:sz w:val="17"/>
                <w:szCs w:val="17"/>
              </w:rPr>
            </w:pPr>
            <w:r w:rsidRPr="00582811">
              <w:rPr>
                <w:rFonts w:ascii="Arial" w:hAnsi="Arial" w:cs="Arial"/>
                <w:sz w:val="17"/>
                <w:szCs w:val="17"/>
              </w:rPr>
              <w:t xml:space="preserve">5,454,799,837 </w:t>
            </w:r>
          </w:p>
        </w:tc>
        <w:tc>
          <w:tcPr>
            <w:tcW w:w="2180" w:type="dxa"/>
            <w:tcBorders>
              <w:top w:val="single" w:sz="4" w:space="0" w:color="auto"/>
              <w:left w:val="nil"/>
              <w:bottom w:val="single" w:sz="4" w:space="0" w:color="auto"/>
              <w:right w:val="single" w:sz="4" w:space="0" w:color="auto"/>
            </w:tcBorders>
            <w:shd w:val="clear" w:color="auto" w:fill="auto"/>
          </w:tcPr>
          <w:p w:rsidR="00582811" w:rsidRPr="00582811" w:rsidRDefault="00582811" w:rsidP="00582811">
            <w:pPr>
              <w:jc w:val="right"/>
              <w:rPr>
                <w:rFonts w:ascii="Arial" w:hAnsi="Arial" w:cs="Arial"/>
                <w:sz w:val="17"/>
                <w:szCs w:val="17"/>
              </w:rPr>
            </w:pPr>
            <w:r w:rsidRPr="00582811">
              <w:rPr>
                <w:rFonts w:ascii="Arial" w:hAnsi="Arial" w:cs="Arial"/>
                <w:sz w:val="17"/>
                <w:szCs w:val="17"/>
              </w:rPr>
              <w:t>3,807,836,550</w:t>
            </w:r>
          </w:p>
        </w:tc>
      </w:tr>
      <w:tr w:rsidR="00582811"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2811" w:rsidRPr="009D4479" w:rsidRDefault="00582811" w:rsidP="00582811">
            <w:pPr>
              <w:rPr>
                <w:rFonts w:ascii="Arial" w:hAnsi="Arial" w:cs="Arial"/>
                <w:sz w:val="17"/>
                <w:szCs w:val="17"/>
              </w:rPr>
            </w:pPr>
            <w:r w:rsidRPr="009D4479">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582811" w:rsidRPr="00582811" w:rsidRDefault="00582811" w:rsidP="00582811">
            <w:pPr>
              <w:jc w:val="right"/>
              <w:rPr>
                <w:rFonts w:ascii="Arial" w:hAnsi="Arial" w:cs="Arial"/>
                <w:sz w:val="17"/>
                <w:szCs w:val="17"/>
              </w:rPr>
            </w:pPr>
            <w:r w:rsidRPr="00582811">
              <w:rPr>
                <w:rFonts w:ascii="Arial" w:hAnsi="Arial" w:cs="Arial"/>
                <w:sz w:val="17"/>
                <w:szCs w:val="17"/>
              </w:rPr>
              <w:t xml:space="preserve">7,536,845 </w:t>
            </w:r>
          </w:p>
        </w:tc>
        <w:tc>
          <w:tcPr>
            <w:tcW w:w="2180" w:type="dxa"/>
            <w:tcBorders>
              <w:top w:val="single" w:sz="4" w:space="0" w:color="auto"/>
              <w:left w:val="nil"/>
              <w:bottom w:val="single" w:sz="4" w:space="0" w:color="auto"/>
              <w:right w:val="single" w:sz="4" w:space="0" w:color="auto"/>
            </w:tcBorders>
            <w:shd w:val="clear" w:color="auto" w:fill="auto"/>
          </w:tcPr>
          <w:p w:rsidR="00582811" w:rsidRPr="00582811" w:rsidRDefault="00582811" w:rsidP="00582811">
            <w:pPr>
              <w:jc w:val="right"/>
              <w:rPr>
                <w:rFonts w:ascii="Arial" w:hAnsi="Arial" w:cs="Arial"/>
                <w:sz w:val="17"/>
                <w:szCs w:val="17"/>
              </w:rPr>
            </w:pPr>
            <w:r w:rsidRPr="00582811">
              <w:rPr>
                <w:rFonts w:ascii="Arial" w:hAnsi="Arial" w:cs="Arial"/>
                <w:sz w:val="17"/>
                <w:szCs w:val="17"/>
              </w:rPr>
              <w:t xml:space="preserve">56,508,691 </w:t>
            </w:r>
          </w:p>
        </w:tc>
      </w:tr>
      <w:tr w:rsidR="00582811"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2811" w:rsidRPr="009D4479" w:rsidRDefault="00582811" w:rsidP="00582811">
            <w:pPr>
              <w:rPr>
                <w:rFonts w:ascii="Arial" w:hAnsi="Arial" w:cs="Arial"/>
                <w:sz w:val="17"/>
                <w:szCs w:val="17"/>
              </w:rPr>
            </w:pPr>
            <w:r w:rsidRPr="009D4479">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582811" w:rsidRPr="00582811" w:rsidRDefault="00582811" w:rsidP="00582811">
            <w:pPr>
              <w:jc w:val="right"/>
              <w:rPr>
                <w:rFonts w:ascii="Arial" w:hAnsi="Arial" w:cs="Arial"/>
                <w:sz w:val="17"/>
                <w:szCs w:val="17"/>
              </w:rPr>
            </w:pPr>
            <w:r w:rsidRPr="00582811">
              <w:rPr>
                <w:rFonts w:ascii="Arial" w:hAnsi="Arial" w:cs="Arial"/>
                <w:sz w:val="17"/>
                <w:szCs w:val="17"/>
              </w:rPr>
              <w:t xml:space="preserve">1,582,618,714 </w:t>
            </w:r>
          </w:p>
        </w:tc>
        <w:tc>
          <w:tcPr>
            <w:tcW w:w="2180" w:type="dxa"/>
            <w:tcBorders>
              <w:top w:val="single" w:sz="4" w:space="0" w:color="auto"/>
              <w:left w:val="nil"/>
              <w:bottom w:val="single" w:sz="4" w:space="0" w:color="auto"/>
              <w:right w:val="single" w:sz="4" w:space="0" w:color="auto"/>
            </w:tcBorders>
            <w:shd w:val="clear" w:color="auto" w:fill="auto"/>
          </w:tcPr>
          <w:p w:rsidR="00582811" w:rsidRPr="00582811" w:rsidRDefault="00582811" w:rsidP="00582811">
            <w:pPr>
              <w:jc w:val="right"/>
              <w:rPr>
                <w:rFonts w:ascii="Arial" w:hAnsi="Arial" w:cs="Arial"/>
                <w:sz w:val="17"/>
                <w:szCs w:val="17"/>
              </w:rPr>
            </w:pPr>
            <w:r w:rsidRPr="00582811">
              <w:rPr>
                <w:rFonts w:ascii="Arial" w:hAnsi="Arial" w:cs="Arial"/>
                <w:sz w:val="17"/>
                <w:szCs w:val="17"/>
              </w:rPr>
              <w:t xml:space="preserve">2,247,081,536 </w:t>
            </w:r>
          </w:p>
        </w:tc>
      </w:tr>
      <w:tr w:rsidR="00582811"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2811" w:rsidRPr="009D4479" w:rsidRDefault="00582811" w:rsidP="00582811">
            <w:pPr>
              <w:rPr>
                <w:rFonts w:ascii="Arial" w:hAnsi="Arial" w:cs="Arial"/>
                <w:sz w:val="17"/>
                <w:szCs w:val="17"/>
              </w:rPr>
            </w:pPr>
            <w:r w:rsidRPr="009D4479">
              <w:rPr>
                <w:rFonts w:ascii="Arial" w:hAnsi="Arial" w:cs="Arial"/>
                <w:sz w:val="17"/>
                <w:szCs w:val="17"/>
              </w:rPr>
              <w:t xml:space="preserve">Depósitos de </w:t>
            </w:r>
            <w:r>
              <w:rPr>
                <w:rFonts w:ascii="Arial" w:hAnsi="Arial" w:cs="Arial"/>
                <w:sz w:val="17"/>
                <w:szCs w:val="17"/>
              </w:rPr>
              <w:t xml:space="preserve">Fondos de Terceros en Garantía </w:t>
            </w:r>
            <w:r w:rsidRPr="009D4479">
              <w:rPr>
                <w:rFonts w:ascii="Arial" w:hAnsi="Arial" w:cs="Arial"/>
                <w:sz w:val="17"/>
                <w:szCs w:val="17"/>
              </w:rPr>
              <w:t>y/o Administración</w:t>
            </w:r>
          </w:p>
        </w:tc>
        <w:tc>
          <w:tcPr>
            <w:tcW w:w="2180" w:type="dxa"/>
            <w:tcBorders>
              <w:top w:val="single" w:sz="4" w:space="0" w:color="auto"/>
              <w:left w:val="nil"/>
              <w:bottom w:val="single" w:sz="4" w:space="0" w:color="auto"/>
              <w:right w:val="single" w:sz="4" w:space="0" w:color="auto"/>
            </w:tcBorders>
            <w:shd w:val="clear" w:color="auto" w:fill="auto"/>
          </w:tcPr>
          <w:p w:rsidR="00582811" w:rsidRPr="004962D8" w:rsidRDefault="00582811" w:rsidP="00582811">
            <w:pPr>
              <w:jc w:val="right"/>
              <w:rPr>
                <w:rFonts w:ascii="Arial" w:hAnsi="Arial" w:cs="Arial"/>
                <w:sz w:val="17"/>
                <w:szCs w:val="17"/>
              </w:rPr>
            </w:pPr>
            <w:r w:rsidRPr="00582811">
              <w:rPr>
                <w:rFonts w:ascii="Arial" w:hAnsi="Arial" w:cs="Arial"/>
                <w:sz w:val="17"/>
                <w:szCs w:val="17"/>
              </w:rPr>
              <w:t>42,973,864</w:t>
            </w:r>
          </w:p>
        </w:tc>
        <w:tc>
          <w:tcPr>
            <w:tcW w:w="2180" w:type="dxa"/>
            <w:tcBorders>
              <w:top w:val="single" w:sz="4" w:space="0" w:color="auto"/>
              <w:left w:val="nil"/>
              <w:bottom w:val="single" w:sz="4" w:space="0" w:color="auto"/>
              <w:right w:val="single" w:sz="4" w:space="0" w:color="auto"/>
            </w:tcBorders>
            <w:shd w:val="clear" w:color="auto" w:fill="auto"/>
          </w:tcPr>
          <w:p w:rsidR="00582811" w:rsidRPr="00582811" w:rsidRDefault="00582811" w:rsidP="00582811">
            <w:pPr>
              <w:jc w:val="right"/>
              <w:rPr>
                <w:rFonts w:ascii="Arial" w:hAnsi="Arial" w:cs="Arial"/>
                <w:sz w:val="17"/>
                <w:szCs w:val="17"/>
              </w:rPr>
            </w:pPr>
            <w:r w:rsidRPr="00582811">
              <w:rPr>
                <w:rFonts w:ascii="Arial" w:hAnsi="Arial" w:cs="Arial"/>
                <w:sz w:val="17"/>
                <w:szCs w:val="17"/>
              </w:rPr>
              <w:t xml:space="preserve">44,762,836 </w:t>
            </w:r>
          </w:p>
        </w:tc>
      </w:tr>
      <w:tr w:rsidR="00582811" w:rsidRPr="002D70DA" w:rsidTr="00594AEA">
        <w:trPr>
          <w:trHeight w:val="240"/>
          <w:jc w:val="center"/>
        </w:trPr>
        <w:tc>
          <w:tcPr>
            <w:tcW w:w="4900" w:type="dxa"/>
            <w:tcBorders>
              <w:top w:val="nil"/>
              <w:left w:val="single" w:sz="4" w:space="0" w:color="auto"/>
              <w:bottom w:val="single" w:sz="4" w:space="0" w:color="auto"/>
              <w:right w:val="single" w:sz="4" w:space="0" w:color="auto"/>
            </w:tcBorders>
            <w:shd w:val="clear" w:color="auto" w:fill="auto"/>
            <w:hideMark/>
          </w:tcPr>
          <w:p w:rsidR="00582811" w:rsidRPr="009D4479" w:rsidRDefault="00582811" w:rsidP="00582811">
            <w:pPr>
              <w:rPr>
                <w:rFonts w:ascii="Arial" w:hAnsi="Arial" w:cs="Arial"/>
                <w:sz w:val="17"/>
                <w:szCs w:val="17"/>
              </w:rPr>
            </w:pPr>
            <w:r w:rsidRPr="009D4479">
              <w:rPr>
                <w:rFonts w:ascii="Arial" w:hAnsi="Arial" w:cs="Arial"/>
                <w:sz w:val="17"/>
                <w:szCs w:val="17"/>
              </w:rPr>
              <w:t>Otros Efectivos y Equivalentes</w:t>
            </w:r>
          </w:p>
        </w:tc>
        <w:tc>
          <w:tcPr>
            <w:tcW w:w="2180" w:type="dxa"/>
            <w:tcBorders>
              <w:top w:val="nil"/>
              <w:left w:val="nil"/>
              <w:bottom w:val="single" w:sz="4" w:space="0" w:color="auto"/>
              <w:right w:val="single" w:sz="4" w:space="0" w:color="auto"/>
            </w:tcBorders>
            <w:shd w:val="clear" w:color="auto" w:fill="auto"/>
          </w:tcPr>
          <w:p w:rsidR="00582811" w:rsidRPr="004962D8" w:rsidRDefault="00582811" w:rsidP="00582811">
            <w:pPr>
              <w:jc w:val="right"/>
              <w:rPr>
                <w:rFonts w:ascii="Arial" w:hAnsi="Arial" w:cs="Arial"/>
                <w:sz w:val="17"/>
                <w:szCs w:val="17"/>
              </w:rPr>
            </w:pPr>
            <w:r>
              <w:rPr>
                <w:rFonts w:ascii="Arial" w:hAnsi="Arial" w:cs="Arial"/>
                <w:sz w:val="17"/>
                <w:szCs w:val="17"/>
              </w:rPr>
              <w:t>0</w:t>
            </w:r>
            <w:r w:rsidRPr="004962D8">
              <w:rPr>
                <w:rFonts w:ascii="Arial" w:hAnsi="Arial" w:cs="Arial"/>
                <w:sz w:val="17"/>
                <w:szCs w:val="17"/>
              </w:rPr>
              <w:t xml:space="preserve"> </w:t>
            </w:r>
          </w:p>
        </w:tc>
        <w:tc>
          <w:tcPr>
            <w:tcW w:w="2180" w:type="dxa"/>
            <w:tcBorders>
              <w:top w:val="nil"/>
              <w:left w:val="nil"/>
              <w:bottom w:val="single" w:sz="4" w:space="0" w:color="auto"/>
              <w:right w:val="single" w:sz="4" w:space="0" w:color="auto"/>
            </w:tcBorders>
            <w:shd w:val="clear" w:color="auto" w:fill="auto"/>
          </w:tcPr>
          <w:p w:rsidR="00582811" w:rsidRPr="00582811" w:rsidRDefault="00582811" w:rsidP="00582811">
            <w:pPr>
              <w:jc w:val="right"/>
              <w:rPr>
                <w:rFonts w:ascii="Arial" w:hAnsi="Arial" w:cs="Arial"/>
                <w:sz w:val="17"/>
                <w:szCs w:val="17"/>
              </w:rPr>
            </w:pPr>
            <w:r w:rsidRPr="00582811">
              <w:rPr>
                <w:rFonts w:ascii="Arial" w:hAnsi="Arial" w:cs="Arial"/>
                <w:sz w:val="17"/>
                <w:szCs w:val="17"/>
              </w:rPr>
              <w:t xml:space="preserve">21,856,662 </w:t>
            </w:r>
          </w:p>
        </w:tc>
      </w:tr>
      <w:tr w:rsidR="00582811" w:rsidRPr="002D70DA" w:rsidTr="00F2042B">
        <w:trPr>
          <w:trHeight w:val="240"/>
          <w:jc w:val="center"/>
        </w:trPr>
        <w:tc>
          <w:tcPr>
            <w:tcW w:w="4900" w:type="dxa"/>
            <w:tcBorders>
              <w:top w:val="nil"/>
              <w:left w:val="nil"/>
              <w:bottom w:val="nil"/>
              <w:right w:val="single" w:sz="4" w:space="0" w:color="auto"/>
            </w:tcBorders>
            <w:shd w:val="clear" w:color="000000" w:fill="FFFFFF"/>
            <w:vAlign w:val="center"/>
            <w:hideMark/>
          </w:tcPr>
          <w:p w:rsidR="00582811" w:rsidRPr="002D70DA" w:rsidRDefault="00582811" w:rsidP="0058281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582811" w:rsidRPr="002D70DA" w:rsidRDefault="00582811" w:rsidP="00582811">
            <w:pPr>
              <w:jc w:val="right"/>
              <w:rPr>
                <w:rFonts w:ascii="Arial" w:hAnsi="Arial" w:cs="Arial"/>
                <w:b/>
                <w:bCs/>
                <w:color w:val="000000"/>
                <w:sz w:val="17"/>
                <w:szCs w:val="17"/>
                <w14:numForm w14:val="lining"/>
              </w:rPr>
            </w:pPr>
            <w:r w:rsidRPr="00582811">
              <w:rPr>
                <w:rFonts w:ascii="Arial" w:hAnsi="Arial" w:cs="Arial"/>
                <w:b/>
                <w:bCs/>
                <w:color w:val="000000"/>
                <w:sz w:val="17"/>
                <w:szCs w:val="17"/>
                <w14:numForm w14:val="lining"/>
              </w:rPr>
              <w:t>7,088,281,836</w:t>
            </w:r>
          </w:p>
        </w:tc>
        <w:tc>
          <w:tcPr>
            <w:tcW w:w="2180" w:type="dxa"/>
            <w:tcBorders>
              <w:top w:val="nil"/>
              <w:left w:val="single" w:sz="4" w:space="0" w:color="auto"/>
              <w:bottom w:val="single" w:sz="4" w:space="0" w:color="auto"/>
              <w:right w:val="single" w:sz="4" w:space="0" w:color="auto"/>
            </w:tcBorders>
            <w:shd w:val="clear" w:color="000000" w:fill="FFFFFF"/>
            <w:hideMark/>
          </w:tcPr>
          <w:p w:rsidR="00582811" w:rsidRPr="00582811" w:rsidRDefault="00582811" w:rsidP="00582811">
            <w:pPr>
              <w:jc w:val="right"/>
              <w:rPr>
                <w:rFonts w:ascii="Arial" w:hAnsi="Arial" w:cs="Arial"/>
                <w:b/>
                <w:sz w:val="17"/>
                <w:szCs w:val="17"/>
              </w:rPr>
            </w:pPr>
            <w:r w:rsidRPr="00582811">
              <w:rPr>
                <w:rFonts w:ascii="Arial" w:hAnsi="Arial" w:cs="Arial"/>
                <w:b/>
                <w:sz w:val="17"/>
                <w:szCs w:val="17"/>
              </w:rPr>
              <w:t>6,180,712,788</w:t>
            </w:r>
          </w:p>
        </w:tc>
      </w:tr>
    </w:tbl>
    <w:p w:rsidR="006C5E04" w:rsidRDefault="006C5E04" w:rsidP="007B37D9">
      <w:pPr>
        <w:autoSpaceDE w:val="0"/>
        <w:autoSpaceDN w:val="0"/>
        <w:adjustRightInd w:val="0"/>
        <w:spacing w:before="240" w:after="120"/>
        <w:ind w:left="709"/>
        <w:rPr>
          <w:rFonts w:ascii="Arial" w:eastAsia="Calibri" w:hAnsi="Arial" w:cs="Arial"/>
          <w:spacing w:val="-1"/>
          <w:sz w:val="17"/>
          <w:szCs w:val="17"/>
        </w:rPr>
      </w:pP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C93D6F"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3D6F" w:rsidRPr="006C5E04" w:rsidRDefault="00C93D6F" w:rsidP="00C93D6F">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C93D6F" w:rsidRPr="00475CE6" w:rsidRDefault="00C93D6F" w:rsidP="00475CE6">
            <w:pPr>
              <w:jc w:val="right"/>
              <w:rPr>
                <w:rFonts w:ascii="Arial" w:hAnsi="Arial" w:cs="Arial"/>
                <w:b/>
                <w:sz w:val="17"/>
                <w:szCs w:val="17"/>
              </w:rPr>
            </w:pPr>
            <w:r w:rsidRPr="00475CE6">
              <w:rPr>
                <w:rFonts w:ascii="Arial" w:hAnsi="Arial" w:cs="Arial"/>
                <w:b/>
                <w:sz w:val="17"/>
                <w:szCs w:val="17"/>
              </w:rPr>
              <w:t>7,000,109,293</w:t>
            </w:r>
          </w:p>
        </w:tc>
        <w:tc>
          <w:tcPr>
            <w:tcW w:w="2180" w:type="dxa"/>
            <w:tcBorders>
              <w:top w:val="single" w:sz="4" w:space="0" w:color="auto"/>
              <w:left w:val="nil"/>
              <w:bottom w:val="single" w:sz="4" w:space="0" w:color="auto"/>
              <w:right w:val="single" w:sz="4" w:space="0" w:color="auto"/>
            </w:tcBorders>
            <w:shd w:val="clear" w:color="auto" w:fill="auto"/>
          </w:tcPr>
          <w:p w:rsidR="00C93D6F" w:rsidRPr="005B5FB9" w:rsidRDefault="00C93D6F" w:rsidP="00C93D6F">
            <w:pPr>
              <w:jc w:val="right"/>
              <w:rPr>
                <w:rFonts w:ascii="Arial" w:hAnsi="Arial" w:cs="Arial"/>
                <w:b/>
                <w:sz w:val="17"/>
                <w:szCs w:val="17"/>
              </w:rPr>
            </w:pPr>
            <w:r w:rsidRPr="005B5FB9">
              <w:rPr>
                <w:rFonts w:ascii="Arial" w:hAnsi="Arial" w:cs="Arial"/>
                <w:b/>
                <w:sz w:val="17"/>
                <w:szCs w:val="17"/>
              </w:rPr>
              <w:t>6,107,020,191</w:t>
            </w:r>
          </w:p>
        </w:tc>
      </w:tr>
      <w:tr w:rsidR="00C93D6F"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3D6F" w:rsidRPr="006C5E04" w:rsidRDefault="00C93D6F" w:rsidP="00C93D6F">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C93D6F" w:rsidRPr="00475CE6" w:rsidRDefault="00C93D6F" w:rsidP="00475CE6">
            <w:pPr>
              <w:jc w:val="right"/>
              <w:rPr>
                <w:rFonts w:ascii="Arial" w:hAnsi="Arial" w:cs="Arial"/>
                <w:b/>
                <w:sz w:val="17"/>
                <w:szCs w:val="17"/>
              </w:rPr>
            </w:pPr>
            <w:r w:rsidRPr="00475CE6">
              <w:rPr>
                <w:rFonts w:ascii="Arial" w:hAnsi="Arial" w:cs="Arial"/>
                <w:b/>
                <w:sz w:val="17"/>
                <w:szCs w:val="17"/>
              </w:rPr>
              <w:t>15,676,381</w:t>
            </w:r>
          </w:p>
        </w:tc>
        <w:tc>
          <w:tcPr>
            <w:tcW w:w="2180" w:type="dxa"/>
            <w:tcBorders>
              <w:top w:val="single" w:sz="4" w:space="0" w:color="auto"/>
              <w:left w:val="nil"/>
              <w:bottom w:val="single" w:sz="4" w:space="0" w:color="auto"/>
              <w:right w:val="single" w:sz="4" w:space="0" w:color="auto"/>
            </w:tcBorders>
            <w:shd w:val="clear" w:color="auto" w:fill="auto"/>
          </w:tcPr>
          <w:p w:rsidR="00C93D6F" w:rsidRPr="005B5FB9" w:rsidRDefault="00C93D6F" w:rsidP="00C93D6F">
            <w:pPr>
              <w:jc w:val="right"/>
              <w:rPr>
                <w:rFonts w:ascii="Arial" w:hAnsi="Arial" w:cs="Arial"/>
                <w:b/>
                <w:sz w:val="17"/>
                <w:szCs w:val="17"/>
              </w:rPr>
            </w:pPr>
            <w:r w:rsidRPr="005B5FB9">
              <w:rPr>
                <w:rFonts w:ascii="Arial" w:hAnsi="Arial" w:cs="Arial"/>
                <w:b/>
                <w:sz w:val="17"/>
                <w:szCs w:val="17"/>
              </w:rPr>
              <w:t>13,098,563</w:t>
            </w:r>
          </w:p>
        </w:tc>
      </w:tr>
      <w:tr w:rsidR="00C93D6F"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3D6F" w:rsidRPr="006C5E04" w:rsidRDefault="00C93D6F" w:rsidP="00C93D6F">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C93D6F" w:rsidRPr="00475CE6" w:rsidRDefault="00C93D6F" w:rsidP="00475CE6">
            <w:pPr>
              <w:jc w:val="right"/>
              <w:rPr>
                <w:rFonts w:ascii="Arial" w:hAnsi="Arial" w:cs="Arial"/>
                <w:b/>
                <w:sz w:val="17"/>
                <w:szCs w:val="17"/>
              </w:rPr>
            </w:pPr>
            <w:r w:rsidRPr="00475CE6">
              <w:rPr>
                <w:rFonts w:ascii="Arial" w:hAnsi="Arial" w:cs="Arial"/>
                <w:b/>
                <w:sz w:val="17"/>
                <w:szCs w:val="17"/>
              </w:rPr>
              <w:t>13,280,768</w:t>
            </w:r>
          </w:p>
        </w:tc>
        <w:tc>
          <w:tcPr>
            <w:tcW w:w="2180" w:type="dxa"/>
            <w:tcBorders>
              <w:top w:val="single" w:sz="4" w:space="0" w:color="auto"/>
              <w:left w:val="nil"/>
              <w:bottom w:val="single" w:sz="4" w:space="0" w:color="auto"/>
              <w:right w:val="single" w:sz="4" w:space="0" w:color="auto"/>
            </w:tcBorders>
            <w:shd w:val="clear" w:color="auto" w:fill="auto"/>
          </w:tcPr>
          <w:p w:rsidR="00C93D6F" w:rsidRPr="005B5FB9" w:rsidRDefault="00C93D6F" w:rsidP="00C93D6F">
            <w:pPr>
              <w:jc w:val="right"/>
              <w:rPr>
                <w:rFonts w:ascii="Arial" w:hAnsi="Arial" w:cs="Arial"/>
                <w:b/>
                <w:sz w:val="17"/>
                <w:szCs w:val="17"/>
              </w:rPr>
            </w:pPr>
            <w:r w:rsidRPr="005B5FB9">
              <w:rPr>
                <w:rFonts w:ascii="Arial" w:hAnsi="Arial" w:cs="Arial"/>
                <w:b/>
                <w:sz w:val="17"/>
                <w:szCs w:val="17"/>
              </w:rPr>
              <w:t>6,181,266</w:t>
            </w:r>
          </w:p>
        </w:tc>
      </w:tr>
      <w:tr w:rsidR="00C93D6F"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93D6F" w:rsidRPr="006C5E04" w:rsidRDefault="00C93D6F" w:rsidP="00C93D6F">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C93D6F" w:rsidRPr="005B5FB9" w:rsidRDefault="00C93D6F" w:rsidP="00C93D6F">
            <w:pPr>
              <w:jc w:val="right"/>
              <w:rPr>
                <w:rFonts w:ascii="Arial" w:hAnsi="Arial" w:cs="Arial"/>
                <w:b/>
                <w:sz w:val="17"/>
                <w:szCs w:val="17"/>
              </w:rPr>
            </w:pPr>
            <w:r>
              <w:rPr>
                <w:rFonts w:ascii="Arial" w:hAnsi="Arial" w:cs="Arial"/>
                <w:b/>
                <w:sz w:val="17"/>
                <w:szCs w:val="17"/>
              </w:rPr>
              <w:t>59,215,395</w:t>
            </w:r>
          </w:p>
        </w:tc>
        <w:tc>
          <w:tcPr>
            <w:tcW w:w="2180" w:type="dxa"/>
            <w:tcBorders>
              <w:top w:val="single" w:sz="4" w:space="0" w:color="auto"/>
              <w:left w:val="nil"/>
              <w:bottom w:val="single" w:sz="4" w:space="0" w:color="auto"/>
              <w:right w:val="single" w:sz="4" w:space="0" w:color="auto"/>
            </w:tcBorders>
            <w:shd w:val="clear" w:color="auto" w:fill="auto"/>
          </w:tcPr>
          <w:p w:rsidR="00C93D6F" w:rsidRPr="005B5FB9" w:rsidRDefault="00C93D6F" w:rsidP="00C93D6F">
            <w:pPr>
              <w:jc w:val="right"/>
              <w:rPr>
                <w:rFonts w:ascii="Arial" w:hAnsi="Arial" w:cs="Arial"/>
                <w:b/>
                <w:sz w:val="17"/>
                <w:szCs w:val="17"/>
              </w:rPr>
            </w:pPr>
            <w:r w:rsidRPr="005B5FB9">
              <w:rPr>
                <w:rFonts w:ascii="Arial" w:hAnsi="Arial" w:cs="Arial"/>
                <w:b/>
                <w:sz w:val="17"/>
                <w:szCs w:val="17"/>
              </w:rPr>
              <w:t>54,412,767</w:t>
            </w:r>
          </w:p>
        </w:tc>
      </w:tr>
      <w:tr w:rsidR="00475C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5CE6" w:rsidRPr="009D4479" w:rsidRDefault="00475CE6" w:rsidP="00475CE6">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75CE6" w:rsidRPr="00475CE6" w:rsidRDefault="00475CE6" w:rsidP="00475CE6">
            <w:pPr>
              <w:jc w:val="right"/>
              <w:rPr>
                <w:rFonts w:ascii="Arial" w:hAnsi="Arial" w:cs="Arial"/>
                <w:sz w:val="17"/>
                <w:szCs w:val="17"/>
              </w:rPr>
            </w:pPr>
            <w:r w:rsidRPr="00475CE6">
              <w:rPr>
                <w:rFonts w:ascii="Arial" w:hAnsi="Arial" w:cs="Arial"/>
                <w:sz w:val="17"/>
                <w:szCs w:val="17"/>
              </w:rPr>
              <w:t>852,930</w:t>
            </w:r>
          </w:p>
        </w:tc>
        <w:tc>
          <w:tcPr>
            <w:tcW w:w="2180" w:type="dxa"/>
            <w:tcBorders>
              <w:top w:val="single" w:sz="4" w:space="0" w:color="auto"/>
              <w:left w:val="nil"/>
              <w:bottom w:val="single" w:sz="4" w:space="0" w:color="auto"/>
              <w:right w:val="single" w:sz="4" w:space="0" w:color="auto"/>
            </w:tcBorders>
            <w:shd w:val="clear" w:color="auto" w:fill="auto"/>
          </w:tcPr>
          <w:p w:rsidR="00475CE6" w:rsidRPr="005B5FB9" w:rsidRDefault="00475CE6" w:rsidP="00475CE6">
            <w:pPr>
              <w:jc w:val="right"/>
              <w:rPr>
                <w:rFonts w:ascii="Arial" w:hAnsi="Arial" w:cs="Arial"/>
                <w:sz w:val="17"/>
                <w:szCs w:val="17"/>
              </w:rPr>
            </w:pPr>
            <w:r w:rsidRPr="005B5FB9">
              <w:rPr>
                <w:rFonts w:ascii="Arial" w:hAnsi="Arial" w:cs="Arial"/>
                <w:sz w:val="17"/>
                <w:szCs w:val="17"/>
              </w:rPr>
              <w:t>1,416,659</w:t>
            </w:r>
          </w:p>
        </w:tc>
      </w:tr>
      <w:tr w:rsidR="00475C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5CE6" w:rsidRPr="009D4479" w:rsidRDefault="00475CE6" w:rsidP="00475CE6">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475CE6" w:rsidRPr="00475CE6" w:rsidRDefault="00475CE6" w:rsidP="00475CE6">
            <w:pPr>
              <w:jc w:val="right"/>
              <w:rPr>
                <w:rFonts w:ascii="Arial" w:hAnsi="Arial" w:cs="Arial"/>
                <w:sz w:val="17"/>
                <w:szCs w:val="17"/>
              </w:rPr>
            </w:pPr>
            <w:r w:rsidRPr="00475CE6">
              <w:rPr>
                <w:rFonts w:ascii="Arial" w:hAnsi="Arial" w:cs="Arial"/>
                <w:sz w:val="17"/>
                <w:szCs w:val="17"/>
              </w:rPr>
              <w:t>759,267</w:t>
            </w:r>
          </w:p>
        </w:tc>
        <w:tc>
          <w:tcPr>
            <w:tcW w:w="2180" w:type="dxa"/>
            <w:tcBorders>
              <w:top w:val="single" w:sz="4" w:space="0" w:color="auto"/>
              <w:left w:val="nil"/>
              <w:bottom w:val="single" w:sz="4" w:space="0" w:color="auto"/>
              <w:right w:val="single" w:sz="4" w:space="0" w:color="auto"/>
            </w:tcBorders>
            <w:shd w:val="clear" w:color="auto" w:fill="auto"/>
          </w:tcPr>
          <w:p w:rsidR="00475CE6" w:rsidRPr="005B5FB9" w:rsidRDefault="00475CE6" w:rsidP="00475CE6">
            <w:pPr>
              <w:jc w:val="right"/>
              <w:rPr>
                <w:rFonts w:ascii="Arial" w:hAnsi="Arial" w:cs="Arial"/>
                <w:sz w:val="17"/>
                <w:szCs w:val="17"/>
              </w:rPr>
            </w:pPr>
            <w:r w:rsidRPr="005B5FB9">
              <w:rPr>
                <w:rFonts w:ascii="Arial" w:hAnsi="Arial" w:cs="Arial"/>
                <w:sz w:val="17"/>
                <w:szCs w:val="17"/>
              </w:rPr>
              <w:t>2,659,991</w:t>
            </w:r>
          </w:p>
        </w:tc>
      </w:tr>
      <w:tr w:rsidR="00475C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5CE6" w:rsidRPr="009D4479" w:rsidRDefault="00475CE6" w:rsidP="00475CE6">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75CE6" w:rsidRPr="00475CE6" w:rsidRDefault="00475CE6" w:rsidP="00475CE6">
            <w:pPr>
              <w:jc w:val="right"/>
              <w:rPr>
                <w:rFonts w:ascii="Arial" w:hAnsi="Arial" w:cs="Arial"/>
                <w:sz w:val="17"/>
                <w:szCs w:val="17"/>
              </w:rPr>
            </w:pPr>
            <w:r w:rsidRPr="00475CE6">
              <w:rPr>
                <w:rFonts w:ascii="Arial" w:hAnsi="Arial" w:cs="Arial"/>
                <w:sz w:val="17"/>
                <w:szCs w:val="17"/>
              </w:rPr>
              <w:t>2,403,042</w:t>
            </w:r>
          </w:p>
        </w:tc>
        <w:tc>
          <w:tcPr>
            <w:tcW w:w="2180" w:type="dxa"/>
            <w:tcBorders>
              <w:top w:val="single" w:sz="4" w:space="0" w:color="auto"/>
              <w:left w:val="nil"/>
              <w:bottom w:val="single" w:sz="4" w:space="0" w:color="auto"/>
              <w:right w:val="single" w:sz="4" w:space="0" w:color="auto"/>
            </w:tcBorders>
            <w:shd w:val="clear" w:color="auto" w:fill="auto"/>
          </w:tcPr>
          <w:p w:rsidR="00475CE6" w:rsidRPr="005B5FB9" w:rsidRDefault="00475CE6" w:rsidP="00475CE6">
            <w:pPr>
              <w:jc w:val="right"/>
              <w:rPr>
                <w:rFonts w:ascii="Arial" w:hAnsi="Arial" w:cs="Arial"/>
                <w:sz w:val="17"/>
                <w:szCs w:val="17"/>
              </w:rPr>
            </w:pPr>
            <w:r w:rsidRPr="005B5FB9">
              <w:rPr>
                <w:rFonts w:ascii="Arial" w:hAnsi="Arial" w:cs="Arial"/>
                <w:sz w:val="17"/>
                <w:szCs w:val="17"/>
              </w:rPr>
              <w:t>1,673,318</w:t>
            </w:r>
          </w:p>
        </w:tc>
      </w:tr>
      <w:tr w:rsidR="00475C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5CE6" w:rsidRPr="009D4479" w:rsidRDefault="00475CE6" w:rsidP="00475CE6">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475CE6" w:rsidRPr="00475CE6" w:rsidRDefault="00475CE6" w:rsidP="00475CE6">
            <w:pPr>
              <w:jc w:val="right"/>
              <w:rPr>
                <w:rFonts w:ascii="Arial" w:hAnsi="Arial" w:cs="Arial"/>
                <w:sz w:val="17"/>
                <w:szCs w:val="17"/>
              </w:rPr>
            </w:pPr>
            <w:r w:rsidRPr="00475CE6">
              <w:rPr>
                <w:rFonts w:ascii="Arial" w:hAnsi="Arial" w:cs="Arial"/>
                <w:sz w:val="17"/>
                <w:szCs w:val="17"/>
              </w:rPr>
              <w:t>45,084,295</w:t>
            </w:r>
          </w:p>
        </w:tc>
        <w:tc>
          <w:tcPr>
            <w:tcW w:w="2180" w:type="dxa"/>
            <w:tcBorders>
              <w:top w:val="single" w:sz="4" w:space="0" w:color="auto"/>
              <w:left w:val="nil"/>
              <w:bottom w:val="single" w:sz="4" w:space="0" w:color="auto"/>
              <w:right w:val="single" w:sz="4" w:space="0" w:color="auto"/>
            </w:tcBorders>
            <w:shd w:val="clear" w:color="auto" w:fill="auto"/>
          </w:tcPr>
          <w:p w:rsidR="00475CE6" w:rsidRPr="005B5FB9" w:rsidRDefault="00475CE6" w:rsidP="00475CE6">
            <w:pPr>
              <w:jc w:val="right"/>
              <w:rPr>
                <w:rFonts w:ascii="Arial" w:hAnsi="Arial" w:cs="Arial"/>
                <w:sz w:val="17"/>
                <w:szCs w:val="17"/>
              </w:rPr>
            </w:pPr>
            <w:r w:rsidRPr="005B5FB9">
              <w:rPr>
                <w:rFonts w:ascii="Arial" w:hAnsi="Arial" w:cs="Arial"/>
                <w:sz w:val="17"/>
                <w:szCs w:val="17"/>
              </w:rPr>
              <w:t>45,302,848</w:t>
            </w:r>
          </w:p>
        </w:tc>
      </w:tr>
      <w:tr w:rsidR="00475C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5CE6" w:rsidRPr="009D4479" w:rsidRDefault="00475CE6" w:rsidP="00475CE6">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75CE6" w:rsidRPr="00475CE6" w:rsidRDefault="00475CE6" w:rsidP="00475CE6">
            <w:pPr>
              <w:jc w:val="right"/>
              <w:rPr>
                <w:rFonts w:ascii="Arial" w:hAnsi="Arial" w:cs="Arial"/>
                <w:sz w:val="17"/>
                <w:szCs w:val="17"/>
              </w:rPr>
            </w:pPr>
            <w:r w:rsidRPr="00475CE6">
              <w:rPr>
                <w:rFonts w:ascii="Arial" w:hAnsi="Arial" w:cs="Arial"/>
                <w:sz w:val="17"/>
                <w:szCs w:val="17"/>
              </w:rPr>
              <w:t>4,932,001</w:t>
            </w:r>
          </w:p>
        </w:tc>
        <w:tc>
          <w:tcPr>
            <w:tcW w:w="2180" w:type="dxa"/>
            <w:tcBorders>
              <w:top w:val="single" w:sz="4" w:space="0" w:color="auto"/>
              <w:left w:val="nil"/>
              <w:bottom w:val="single" w:sz="4" w:space="0" w:color="auto"/>
              <w:right w:val="single" w:sz="4" w:space="0" w:color="auto"/>
            </w:tcBorders>
            <w:shd w:val="clear" w:color="auto" w:fill="auto"/>
          </w:tcPr>
          <w:p w:rsidR="00475CE6" w:rsidRPr="005B5FB9" w:rsidRDefault="00475CE6" w:rsidP="00475CE6">
            <w:pPr>
              <w:jc w:val="right"/>
              <w:rPr>
                <w:rFonts w:ascii="Arial" w:hAnsi="Arial" w:cs="Arial"/>
                <w:sz w:val="17"/>
                <w:szCs w:val="17"/>
              </w:rPr>
            </w:pPr>
            <w:r w:rsidRPr="005B5FB9">
              <w:rPr>
                <w:rFonts w:ascii="Arial" w:hAnsi="Arial" w:cs="Arial"/>
                <w:sz w:val="17"/>
                <w:szCs w:val="17"/>
              </w:rPr>
              <w:t>1,601,565</w:t>
            </w:r>
          </w:p>
        </w:tc>
      </w:tr>
      <w:tr w:rsidR="00475C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5CE6" w:rsidRPr="009D4479" w:rsidRDefault="00475CE6" w:rsidP="00475CE6">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475CE6" w:rsidRPr="00475CE6" w:rsidRDefault="00475CE6" w:rsidP="00475CE6">
            <w:pPr>
              <w:jc w:val="right"/>
              <w:rPr>
                <w:rFonts w:ascii="Arial" w:hAnsi="Arial" w:cs="Arial"/>
                <w:sz w:val="17"/>
                <w:szCs w:val="17"/>
              </w:rPr>
            </w:pPr>
            <w:r w:rsidRPr="00475CE6">
              <w:rPr>
                <w:rFonts w:ascii="Arial" w:hAnsi="Arial" w:cs="Arial"/>
                <w:sz w:val="17"/>
                <w:szCs w:val="17"/>
              </w:rPr>
              <w:t>978,063</w:t>
            </w:r>
          </w:p>
        </w:tc>
        <w:tc>
          <w:tcPr>
            <w:tcW w:w="2180" w:type="dxa"/>
            <w:tcBorders>
              <w:top w:val="single" w:sz="4" w:space="0" w:color="auto"/>
              <w:left w:val="nil"/>
              <w:bottom w:val="single" w:sz="4" w:space="0" w:color="auto"/>
              <w:right w:val="single" w:sz="4" w:space="0" w:color="auto"/>
            </w:tcBorders>
            <w:shd w:val="clear" w:color="auto" w:fill="auto"/>
          </w:tcPr>
          <w:p w:rsidR="00475CE6" w:rsidRPr="005B5FB9" w:rsidRDefault="00475CE6" w:rsidP="00475CE6">
            <w:pPr>
              <w:jc w:val="right"/>
              <w:rPr>
                <w:rFonts w:ascii="Arial" w:hAnsi="Arial" w:cs="Arial"/>
                <w:sz w:val="17"/>
                <w:szCs w:val="17"/>
              </w:rPr>
            </w:pPr>
            <w:r w:rsidRPr="005B5FB9">
              <w:rPr>
                <w:rFonts w:ascii="Arial" w:hAnsi="Arial" w:cs="Arial"/>
                <w:sz w:val="17"/>
                <w:szCs w:val="17"/>
              </w:rPr>
              <w:t>561,621</w:t>
            </w:r>
          </w:p>
        </w:tc>
      </w:tr>
      <w:tr w:rsidR="00475C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5CE6" w:rsidRPr="009D4479" w:rsidRDefault="00475CE6" w:rsidP="00475CE6">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75CE6" w:rsidRPr="00475CE6" w:rsidRDefault="00475CE6" w:rsidP="00475CE6">
            <w:pPr>
              <w:jc w:val="right"/>
              <w:rPr>
                <w:rFonts w:ascii="Arial" w:hAnsi="Arial" w:cs="Arial"/>
                <w:sz w:val="17"/>
                <w:szCs w:val="17"/>
              </w:rPr>
            </w:pPr>
            <w:r w:rsidRPr="00475CE6">
              <w:rPr>
                <w:rFonts w:ascii="Arial" w:hAnsi="Arial" w:cs="Arial"/>
                <w:sz w:val="17"/>
                <w:szCs w:val="17"/>
              </w:rPr>
              <w:t>4,100,982</w:t>
            </w:r>
          </w:p>
        </w:tc>
        <w:tc>
          <w:tcPr>
            <w:tcW w:w="2180" w:type="dxa"/>
            <w:tcBorders>
              <w:top w:val="single" w:sz="4" w:space="0" w:color="auto"/>
              <w:left w:val="nil"/>
              <w:bottom w:val="single" w:sz="4" w:space="0" w:color="auto"/>
              <w:right w:val="single" w:sz="4" w:space="0" w:color="auto"/>
            </w:tcBorders>
            <w:shd w:val="clear" w:color="auto" w:fill="auto"/>
          </w:tcPr>
          <w:p w:rsidR="00475CE6" w:rsidRPr="005B5FB9" w:rsidRDefault="00475CE6" w:rsidP="00475CE6">
            <w:pPr>
              <w:jc w:val="right"/>
              <w:rPr>
                <w:rFonts w:ascii="Arial" w:hAnsi="Arial" w:cs="Arial"/>
                <w:sz w:val="17"/>
                <w:szCs w:val="17"/>
              </w:rPr>
            </w:pPr>
            <w:r w:rsidRPr="005B5FB9">
              <w:rPr>
                <w:rFonts w:ascii="Arial" w:hAnsi="Arial" w:cs="Arial"/>
                <w:sz w:val="17"/>
                <w:szCs w:val="17"/>
              </w:rPr>
              <w:t>1,166,912</w:t>
            </w:r>
          </w:p>
        </w:tc>
      </w:tr>
      <w:tr w:rsidR="00475CE6" w:rsidRPr="002D70DA" w:rsidTr="006C5E04">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75CE6" w:rsidRPr="009D4479" w:rsidRDefault="00475CE6" w:rsidP="00475CE6">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475CE6" w:rsidRPr="00475CE6" w:rsidRDefault="00475CE6" w:rsidP="00475CE6">
            <w:pPr>
              <w:jc w:val="right"/>
              <w:rPr>
                <w:rFonts w:ascii="Arial" w:hAnsi="Arial" w:cs="Arial"/>
                <w:sz w:val="17"/>
                <w:szCs w:val="17"/>
              </w:rPr>
            </w:pPr>
            <w:r w:rsidRPr="00475CE6">
              <w:rPr>
                <w:rFonts w:ascii="Arial" w:hAnsi="Arial" w:cs="Arial"/>
                <w:sz w:val="17"/>
                <w:szCs w:val="17"/>
              </w:rPr>
              <w:t>104,815</w:t>
            </w:r>
          </w:p>
        </w:tc>
        <w:tc>
          <w:tcPr>
            <w:tcW w:w="2180" w:type="dxa"/>
            <w:tcBorders>
              <w:top w:val="nil"/>
              <w:left w:val="nil"/>
              <w:bottom w:val="single" w:sz="4" w:space="0" w:color="auto"/>
              <w:right w:val="single" w:sz="4" w:space="0" w:color="auto"/>
            </w:tcBorders>
            <w:shd w:val="clear" w:color="auto" w:fill="auto"/>
          </w:tcPr>
          <w:p w:rsidR="00475CE6" w:rsidRPr="005B5FB9" w:rsidRDefault="00475CE6" w:rsidP="00475CE6">
            <w:pPr>
              <w:jc w:val="right"/>
              <w:rPr>
                <w:rFonts w:ascii="Arial" w:hAnsi="Arial" w:cs="Arial"/>
                <w:sz w:val="17"/>
                <w:szCs w:val="17"/>
              </w:rPr>
            </w:pPr>
            <w:r w:rsidRPr="005B5FB9">
              <w:rPr>
                <w:rFonts w:ascii="Arial" w:hAnsi="Arial" w:cs="Arial"/>
                <w:sz w:val="17"/>
                <w:szCs w:val="17"/>
              </w:rPr>
              <w:t>29,854</w:t>
            </w:r>
          </w:p>
        </w:tc>
      </w:tr>
      <w:tr w:rsidR="00C93D6F" w:rsidRPr="002D70DA" w:rsidTr="00C93D6F">
        <w:trPr>
          <w:trHeight w:val="240"/>
          <w:jc w:val="center"/>
        </w:trPr>
        <w:tc>
          <w:tcPr>
            <w:tcW w:w="4900" w:type="dxa"/>
            <w:tcBorders>
              <w:top w:val="nil"/>
              <w:left w:val="nil"/>
              <w:bottom w:val="nil"/>
              <w:right w:val="single" w:sz="4" w:space="0" w:color="auto"/>
            </w:tcBorders>
            <w:shd w:val="clear" w:color="000000" w:fill="FFFFFF"/>
            <w:vAlign w:val="center"/>
            <w:hideMark/>
          </w:tcPr>
          <w:p w:rsidR="00C93D6F" w:rsidRPr="002D70DA" w:rsidRDefault="00C93D6F" w:rsidP="00C93D6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tcPr>
          <w:p w:rsidR="00C93D6F" w:rsidRPr="00475CE6" w:rsidRDefault="00475CE6" w:rsidP="00C93D6F">
            <w:pPr>
              <w:jc w:val="right"/>
              <w:rPr>
                <w:rFonts w:ascii="Arial" w:hAnsi="Arial" w:cs="Arial"/>
                <w:b/>
                <w:sz w:val="17"/>
                <w:szCs w:val="17"/>
              </w:rPr>
            </w:pPr>
            <w:r w:rsidRPr="00475CE6">
              <w:rPr>
                <w:rFonts w:ascii="Arial" w:hAnsi="Arial" w:cs="Arial"/>
                <w:b/>
                <w:sz w:val="17"/>
                <w:szCs w:val="17"/>
              </w:rPr>
              <w:t>7,088,281,836</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93D6F" w:rsidRPr="005B5FB9" w:rsidRDefault="00C93D6F" w:rsidP="00C93D6F">
            <w:pPr>
              <w:jc w:val="right"/>
              <w:rPr>
                <w:rFonts w:ascii="Arial" w:hAnsi="Arial" w:cs="Arial"/>
                <w:b/>
                <w:bCs/>
                <w:color w:val="000000"/>
                <w:sz w:val="17"/>
                <w:szCs w:val="17"/>
                <w14:numForm w14:val="lining"/>
              </w:rPr>
            </w:pPr>
            <w:r w:rsidRPr="005B5FB9">
              <w:rPr>
                <w:rFonts w:ascii="Arial" w:hAnsi="Arial" w:cs="Arial"/>
                <w:b/>
                <w:bCs/>
                <w:color w:val="000000"/>
                <w:sz w:val="17"/>
                <w:szCs w:val="17"/>
                <w14:numForm w14:val="lining"/>
              </w:rPr>
              <w:t>6,180,712,788</w:t>
            </w:r>
          </w:p>
        </w:tc>
      </w:tr>
    </w:tbl>
    <w:p w:rsidR="00D536B8" w:rsidRDefault="009A281C"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incremento de </w:t>
      </w:r>
      <w:r w:rsidR="00A76A9C">
        <w:rPr>
          <w:rFonts w:ascii="Arial" w:eastAsia="Calibri" w:hAnsi="Arial" w:cs="Arial"/>
          <w:spacing w:val="-1"/>
          <w:sz w:val="17"/>
          <w:szCs w:val="17"/>
        </w:rPr>
        <w:t>14.6</w:t>
      </w:r>
      <w:r>
        <w:rPr>
          <w:rFonts w:ascii="Arial" w:eastAsia="Calibri" w:hAnsi="Arial" w:cs="Arial"/>
          <w:spacing w:val="-1"/>
          <w:sz w:val="17"/>
          <w:szCs w:val="17"/>
        </w:rPr>
        <w:t xml:space="preserve">% </w:t>
      </w:r>
      <w:r w:rsidR="00C6291F" w:rsidRPr="004A6B02">
        <w:rPr>
          <w:rFonts w:ascii="Arial" w:eastAsia="Calibri" w:hAnsi="Arial" w:cs="Arial"/>
          <w:spacing w:val="-1"/>
          <w:sz w:val="17"/>
          <w:szCs w:val="17"/>
        </w:rPr>
        <w:t xml:space="preserve">en </w:t>
      </w:r>
      <w:r w:rsidR="00C6291F">
        <w:rPr>
          <w:rFonts w:ascii="Arial" w:eastAsia="Calibri" w:hAnsi="Arial" w:cs="Arial"/>
          <w:spacing w:val="-1"/>
          <w:sz w:val="17"/>
          <w:szCs w:val="17"/>
        </w:rPr>
        <w:t xml:space="preserve">la cuenta </w:t>
      </w:r>
      <w:r w:rsidR="00C6291F" w:rsidRPr="004A6B02">
        <w:rPr>
          <w:rFonts w:ascii="Arial" w:eastAsia="Calibri" w:hAnsi="Arial" w:cs="Arial"/>
          <w:spacing w:val="-1"/>
          <w:sz w:val="17"/>
          <w:szCs w:val="17"/>
        </w:rPr>
        <w:t>de efectivo y equivalentes derivado del incremento en la recaudación estatal</w:t>
      </w:r>
      <w:r w:rsidR="00C6291F">
        <w:rPr>
          <w:rFonts w:ascii="Arial" w:eastAsia="Calibri" w:hAnsi="Arial" w:cs="Arial"/>
          <w:spacing w:val="-1"/>
          <w:sz w:val="17"/>
          <w:szCs w:val="17"/>
        </w:rPr>
        <w:t xml:space="preserve"> y d</w:t>
      </w:r>
      <w:r w:rsidR="00C6291F" w:rsidRPr="004A6B02">
        <w:rPr>
          <w:rFonts w:ascii="Arial" w:eastAsia="Calibri" w:hAnsi="Arial" w:cs="Arial"/>
          <w:spacing w:val="-1"/>
          <w:sz w:val="17"/>
          <w:szCs w:val="17"/>
        </w:rPr>
        <w:t>el incremento en las participaciones recibidas</w:t>
      </w:r>
      <w:r>
        <w:rPr>
          <w:rFonts w:ascii="Arial" w:eastAsia="Calibri" w:hAnsi="Arial" w:cs="Arial"/>
          <w:spacing w:val="-1"/>
          <w:sz w:val="17"/>
          <w:szCs w:val="17"/>
        </w:rPr>
        <w:t xml:space="preserve"> </w:t>
      </w:r>
      <w:r w:rsidR="00C6291F">
        <w:rPr>
          <w:rFonts w:ascii="Arial" w:eastAsia="Calibri" w:hAnsi="Arial" w:cs="Arial"/>
          <w:spacing w:val="-1"/>
          <w:sz w:val="17"/>
          <w:szCs w:val="17"/>
        </w:rPr>
        <w:t>por e</w:t>
      </w:r>
      <w:r>
        <w:rPr>
          <w:rFonts w:ascii="Arial" w:eastAsia="Calibri" w:hAnsi="Arial" w:cs="Arial"/>
          <w:spacing w:val="-1"/>
          <w:sz w:val="17"/>
          <w:szCs w:val="17"/>
        </w:rPr>
        <w:t>l Poder Ejecutivo</w:t>
      </w:r>
      <w:r w:rsidR="00D47C67">
        <w:rPr>
          <w:rFonts w:ascii="Arial" w:eastAsia="Calibri" w:hAnsi="Arial" w:cs="Arial"/>
          <w:spacing w:val="-1"/>
          <w:sz w:val="17"/>
          <w:szCs w:val="17"/>
        </w:rPr>
        <w:t>.</w:t>
      </w:r>
    </w:p>
    <w:p w:rsidR="00C6291F" w:rsidRDefault="00C6291F" w:rsidP="00C6291F">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decremento en el rubro Efectivo, obedece a la reclasificación del saldo de los Fondos Revolventes a la cuenta de </w:t>
      </w:r>
      <w:r w:rsidRPr="00A11D1F">
        <w:rPr>
          <w:rFonts w:ascii="Arial" w:eastAsia="Calibri" w:hAnsi="Arial" w:cs="Arial"/>
          <w:spacing w:val="-1"/>
          <w:sz w:val="17"/>
          <w:szCs w:val="17"/>
        </w:rPr>
        <w:t>Deudores Diversos por Cobrar a Corto Plazo</w:t>
      </w:r>
      <w:r w:rsidR="00EC32B3">
        <w:rPr>
          <w:rFonts w:ascii="Arial" w:eastAsia="Calibri" w:hAnsi="Arial" w:cs="Arial"/>
          <w:spacing w:val="-1"/>
          <w:sz w:val="17"/>
          <w:szCs w:val="17"/>
        </w:rPr>
        <w:t xml:space="preserve"> por parte del Poder Ejecutivo</w:t>
      </w:r>
      <w:r>
        <w:rPr>
          <w:rFonts w:ascii="Arial" w:eastAsia="Calibri" w:hAnsi="Arial" w:cs="Arial"/>
          <w:spacing w:val="-1"/>
          <w:sz w:val="17"/>
          <w:szCs w:val="17"/>
        </w:rPr>
        <w:t>.</w:t>
      </w:r>
      <w:r w:rsidR="009D2E27">
        <w:rPr>
          <w:rFonts w:ascii="Arial" w:eastAsia="Calibri" w:hAnsi="Arial" w:cs="Arial"/>
          <w:spacing w:val="-1"/>
          <w:sz w:val="17"/>
          <w:szCs w:val="17"/>
        </w:rPr>
        <w:t xml:space="preserve"> </w:t>
      </w:r>
      <w:r>
        <w:rPr>
          <w:rFonts w:ascii="Arial" w:eastAsia="Calibri" w:hAnsi="Arial" w:cs="Arial"/>
          <w:spacing w:val="-1"/>
          <w:sz w:val="17"/>
          <w:szCs w:val="17"/>
        </w:rPr>
        <w:t>La disminución en el saldo de la cuenta de Bancos/Dependencias y Otros obedece a la reclasificación a Bancos/Tesorería.</w:t>
      </w:r>
    </w:p>
    <w:p w:rsidR="007802CD" w:rsidRDefault="007802CD">
      <w:pPr>
        <w:rPr>
          <w:rFonts w:ascii="Arial" w:eastAsia="Calibri" w:hAnsi="Arial" w:cs="Arial"/>
          <w:b/>
          <w:spacing w:val="-1"/>
          <w:sz w:val="17"/>
          <w:szCs w:val="17"/>
        </w:rPr>
      </w:pPr>
    </w:p>
    <w:p w:rsidR="006335BE" w:rsidRPr="002D70DA" w:rsidRDefault="006335BE"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del</w:t>
      </w:r>
      <w:r w:rsidR="0009463A">
        <w:rPr>
          <w:rFonts w:ascii="Arial" w:eastAsia="Calibri" w:hAnsi="Arial" w:cs="Arial"/>
          <w:spacing w:val="-1"/>
          <w:sz w:val="17"/>
          <w:szCs w:val="17"/>
        </w:rPr>
        <w:t xml:space="preserve"> G</w:t>
      </w:r>
      <w:r w:rsidR="0009463A" w:rsidRPr="00CB26C7">
        <w:rPr>
          <w:rFonts w:ascii="Arial" w:eastAsia="Calibri" w:hAnsi="Arial" w:cs="Arial"/>
          <w:spacing w:val="-1"/>
          <w:sz w:val="17"/>
          <w:szCs w:val="17"/>
        </w:rPr>
        <w:t xml:space="preserve">obierno </w:t>
      </w:r>
      <w:r w:rsidR="0009463A">
        <w:rPr>
          <w:rFonts w:ascii="Arial" w:eastAsia="Calibri" w:hAnsi="Arial" w:cs="Arial"/>
          <w:spacing w:val="-1"/>
          <w:sz w:val="17"/>
          <w:szCs w:val="17"/>
        </w:rPr>
        <w:t>E</w:t>
      </w:r>
      <w:r w:rsidR="0009463A" w:rsidRPr="00CB26C7">
        <w:rPr>
          <w:rFonts w:ascii="Arial" w:eastAsia="Calibri" w:hAnsi="Arial" w:cs="Arial"/>
          <w:spacing w:val="-1"/>
          <w:sz w:val="17"/>
          <w:szCs w:val="17"/>
        </w:rPr>
        <w:t xml:space="preserve">statal de </w:t>
      </w:r>
      <w:r w:rsidR="0009463A">
        <w:rPr>
          <w:rFonts w:ascii="Arial" w:eastAsia="Calibri" w:hAnsi="Arial" w:cs="Arial"/>
          <w:spacing w:val="-1"/>
          <w:sz w:val="17"/>
          <w:szCs w:val="17"/>
        </w:rPr>
        <w:t>Q</w:t>
      </w:r>
      <w:r w:rsidR="0009463A" w:rsidRPr="00CB26C7">
        <w:rPr>
          <w:rFonts w:ascii="Arial" w:eastAsia="Calibri" w:hAnsi="Arial" w:cs="Arial"/>
          <w:spacing w:val="-1"/>
          <w:sz w:val="17"/>
          <w:szCs w:val="17"/>
        </w:rPr>
        <w:t>uerétaro</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2470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582811" w:rsidP="001A0060">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582811" w:rsidP="001A0060">
            <w:pPr>
              <w:jc w:val="center"/>
              <w:rPr>
                <w:rFonts w:ascii="Arial" w:hAnsi="Arial" w:cs="Arial"/>
                <w:b/>
                <w:bCs/>
                <w:color w:val="000000"/>
                <w:sz w:val="17"/>
                <w:szCs w:val="17"/>
              </w:rPr>
            </w:pPr>
            <w:r>
              <w:rPr>
                <w:rFonts w:ascii="Arial" w:hAnsi="Arial" w:cs="Arial"/>
                <w:b/>
                <w:bCs/>
                <w:color w:val="000000"/>
                <w:sz w:val="17"/>
                <w:szCs w:val="17"/>
              </w:rPr>
              <w:t>2016</w:t>
            </w:r>
          </w:p>
        </w:tc>
      </w:tr>
      <w:tr w:rsidR="00F2042B"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560276" w:rsidRDefault="00F2042B" w:rsidP="00F2042B">
            <w:pPr>
              <w:rPr>
                <w:rFonts w:ascii="Arial" w:hAnsi="Arial" w:cs="Arial"/>
                <w:sz w:val="17"/>
                <w:szCs w:val="17"/>
              </w:rPr>
            </w:pPr>
            <w:r w:rsidRPr="00560276">
              <w:rPr>
                <w:rFonts w:ascii="Arial" w:hAnsi="Arial" w:cs="Arial"/>
                <w:sz w:val="17"/>
                <w:szCs w:val="17"/>
              </w:rPr>
              <w:t>Inversiones Financieras de Corto Plazo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F2042B" w:rsidRPr="00062243" w:rsidRDefault="00F2042B" w:rsidP="00F2042B">
            <w:pPr>
              <w:jc w:val="right"/>
              <w:rPr>
                <w:rFonts w:ascii="Arial" w:hAnsi="Arial" w:cs="Arial"/>
                <w:sz w:val="17"/>
                <w:szCs w:val="17"/>
              </w:rPr>
            </w:pPr>
            <w:r w:rsidRPr="00062243">
              <w:rPr>
                <w:rFonts w:ascii="Arial" w:hAnsi="Arial" w:cs="Arial"/>
                <w:sz w:val="17"/>
                <w:szCs w:val="17"/>
              </w:rPr>
              <w:t xml:space="preserve">486,824,688 </w:t>
            </w:r>
          </w:p>
        </w:tc>
      </w:tr>
      <w:tr w:rsidR="00F2042B"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560276" w:rsidRDefault="00F2042B" w:rsidP="00F2042B">
            <w:pPr>
              <w:rPr>
                <w:rFonts w:ascii="Arial" w:hAnsi="Arial" w:cs="Arial"/>
                <w:sz w:val="17"/>
                <w:szCs w:val="17"/>
              </w:rPr>
            </w:pPr>
            <w:r w:rsidRPr="00560276">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34,622,350</w:t>
            </w:r>
          </w:p>
        </w:tc>
        <w:tc>
          <w:tcPr>
            <w:tcW w:w="2180" w:type="dxa"/>
            <w:tcBorders>
              <w:top w:val="single" w:sz="4" w:space="0" w:color="auto"/>
              <w:left w:val="nil"/>
              <w:bottom w:val="single" w:sz="4" w:space="0" w:color="auto"/>
              <w:right w:val="single" w:sz="4" w:space="0" w:color="auto"/>
            </w:tcBorders>
            <w:shd w:val="clear" w:color="auto" w:fill="auto"/>
          </w:tcPr>
          <w:p w:rsidR="00F2042B" w:rsidRPr="00062243" w:rsidRDefault="00F2042B" w:rsidP="00F2042B">
            <w:pPr>
              <w:jc w:val="right"/>
              <w:rPr>
                <w:rFonts w:ascii="Arial" w:hAnsi="Arial" w:cs="Arial"/>
                <w:sz w:val="17"/>
                <w:szCs w:val="17"/>
              </w:rPr>
            </w:pPr>
            <w:r w:rsidRPr="00062243">
              <w:rPr>
                <w:rFonts w:ascii="Arial" w:hAnsi="Arial" w:cs="Arial"/>
                <w:sz w:val="17"/>
                <w:szCs w:val="17"/>
              </w:rPr>
              <w:t xml:space="preserve">26,405,320 </w:t>
            </w:r>
          </w:p>
        </w:tc>
      </w:tr>
      <w:tr w:rsidR="00F2042B"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560276" w:rsidRDefault="00F2042B" w:rsidP="00F2042B">
            <w:pPr>
              <w:rPr>
                <w:rFonts w:ascii="Arial" w:hAnsi="Arial" w:cs="Arial"/>
                <w:sz w:val="17"/>
                <w:szCs w:val="17"/>
              </w:rPr>
            </w:pPr>
            <w:r w:rsidRPr="00560276">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9,617,754</w:t>
            </w:r>
          </w:p>
        </w:tc>
        <w:tc>
          <w:tcPr>
            <w:tcW w:w="2180" w:type="dxa"/>
            <w:tcBorders>
              <w:top w:val="single" w:sz="4" w:space="0" w:color="auto"/>
              <w:left w:val="nil"/>
              <w:bottom w:val="single" w:sz="4" w:space="0" w:color="auto"/>
              <w:right w:val="single" w:sz="4" w:space="0" w:color="auto"/>
            </w:tcBorders>
            <w:shd w:val="clear" w:color="auto" w:fill="auto"/>
          </w:tcPr>
          <w:p w:rsidR="00F2042B" w:rsidRPr="00062243" w:rsidRDefault="00F2042B" w:rsidP="00F2042B">
            <w:pPr>
              <w:jc w:val="right"/>
              <w:rPr>
                <w:rFonts w:ascii="Arial" w:hAnsi="Arial" w:cs="Arial"/>
                <w:sz w:val="17"/>
                <w:szCs w:val="17"/>
              </w:rPr>
            </w:pPr>
            <w:r w:rsidRPr="00062243">
              <w:rPr>
                <w:rFonts w:ascii="Arial" w:hAnsi="Arial" w:cs="Arial"/>
                <w:sz w:val="17"/>
                <w:szCs w:val="17"/>
              </w:rPr>
              <w:t xml:space="preserve">21,384,238 </w:t>
            </w:r>
          </w:p>
        </w:tc>
      </w:tr>
      <w:tr w:rsidR="00F2042B"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560276" w:rsidRDefault="00F2042B" w:rsidP="00F2042B">
            <w:pPr>
              <w:rPr>
                <w:rFonts w:ascii="Arial" w:hAnsi="Arial" w:cs="Arial"/>
                <w:sz w:val="17"/>
                <w:szCs w:val="17"/>
              </w:rPr>
            </w:pPr>
            <w:r w:rsidRPr="00560276">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3,668,468</w:t>
            </w:r>
          </w:p>
        </w:tc>
        <w:tc>
          <w:tcPr>
            <w:tcW w:w="2180" w:type="dxa"/>
            <w:tcBorders>
              <w:top w:val="single" w:sz="4" w:space="0" w:color="auto"/>
              <w:left w:val="nil"/>
              <w:bottom w:val="single" w:sz="4" w:space="0" w:color="auto"/>
              <w:right w:val="single" w:sz="4" w:space="0" w:color="auto"/>
            </w:tcBorders>
            <w:shd w:val="clear" w:color="auto" w:fill="auto"/>
          </w:tcPr>
          <w:p w:rsidR="00F2042B" w:rsidRPr="00062243" w:rsidRDefault="00F2042B" w:rsidP="00F2042B">
            <w:pPr>
              <w:jc w:val="right"/>
              <w:rPr>
                <w:rFonts w:ascii="Arial" w:hAnsi="Arial" w:cs="Arial"/>
                <w:sz w:val="17"/>
                <w:szCs w:val="17"/>
              </w:rPr>
            </w:pPr>
            <w:r w:rsidRPr="00062243">
              <w:rPr>
                <w:rFonts w:ascii="Arial" w:hAnsi="Arial" w:cs="Arial"/>
                <w:sz w:val="17"/>
                <w:szCs w:val="17"/>
              </w:rPr>
              <w:t xml:space="preserve">2,024,456 </w:t>
            </w:r>
          </w:p>
        </w:tc>
      </w:tr>
      <w:tr w:rsidR="00F2042B"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560276" w:rsidRDefault="00F2042B" w:rsidP="00F2042B">
            <w:pPr>
              <w:rPr>
                <w:rFonts w:ascii="Arial" w:hAnsi="Arial" w:cs="Arial"/>
                <w:sz w:val="17"/>
                <w:szCs w:val="17"/>
              </w:rPr>
            </w:pPr>
            <w:r w:rsidRPr="00560276">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1,557,544</w:t>
            </w:r>
          </w:p>
        </w:tc>
        <w:tc>
          <w:tcPr>
            <w:tcW w:w="2180" w:type="dxa"/>
            <w:tcBorders>
              <w:top w:val="single" w:sz="4" w:space="0" w:color="auto"/>
              <w:left w:val="nil"/>
              <w:bottom w:val="single" w:sz="4" w:space="0" w:color="auto"/>
              <w:right w:val="single" w:sz="4" w:space="0" w:color="auto"/>
            </w:tcBorders>
            <w:shd w:val="clear" w:color="auto" w:fill="auto"/>
          </w:tcPr>
          <w:p w:rsidR="00F2042B" w:rsidRPr="00062243" w:rsidRDefault="00F2042B" w:rsidP="00F2042B">
            <w:pPr>
              <w:jc w:val="right"/>
              <w:rPr>
                <w:rFonts w:ascii="Arial" w:hAnsi="Arial" w:cs="Arial"/>
                <w:sz w:val="17"/>
                <w:szCs w:val="17"/>
              </w:rPr>
            </w:pPr>
            <w:r w:rsidRPr="00062243">
              <w:rPr>
                <w:rFonts w:ascii="Arial" w:hAnsi="Arial" w:cs="Arial"/>
                <w:sz w:val="17"/>
                <w:szCs w:val="17"/>
              </w:rPr>
              <w:t xml:space="preserve">15,018,735 </w:t>
            </w:r>
          </w:p>
        </w:tc>
      </w:tr>
      <w:tr w:rsidR="00F2042B" w:rsidRPr="002D70DA" w:rsidTr="0056027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2042B" w:rsidRPr="00560276" w:rsidRDefault="00F2042B" w:rsidP="00F2042B">
            <w:pPr>
              <w:rPr>
                <w:rFonts w:ascii="Arial" w:hAnsi="Arial" w:cs="Arial"/>
                <w:sz w:val="17"/>
                <w:szCs w:val="17"/>
              </w:rPr>
            </w:pPr>
            <w:r w:rsidRPr="00560276">
              <w:rPr>
                <w:rFonts w:ascii="Arial" w:hAnsi="Arial" w:cs="Arial"/>
                <w:sz w:val="17"/>
                <w:szCs w:val="17"/>
              </w:rPr>
              <w:t>Otros Derechos a Recibir Efectivo o Equivalentes a Corto Plazo</w:t>
            </w:r>
          </w:p>
        </w:tc>
        <w:tc>
          <w:tcPr>
            <w:tcW w:w="2180" w:type="dxa"/>
            <w:tcBorders>
              <w:top w:val="nil"/>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8,867</w:t>
            </w:r>
          </w:p>
        </w:tc>
        <w:tc>
          <w:tcPr>
            <w:tcW w:w="2180" w:type="dxa"/>
            <w:tcBorders>
              <w:top w:val="nil"/>
              <w:left w:val="nil"/>
              <w:bottom w:val="single" w:sz="4" w:space="0" w:color="auto"/>
              <w:right w:val="single" w:sz="4" w:space="0" w:color="auto"/>
            </w:tcBorders>
            <w:shd w:val="clear" w:color="auto" w:fill="auto"/>
          </w:tcPr>
          <w:p w:rsidR="00F2042B" w:rsidRPr="00062243" w:rsidRDefault="00F2042B" w:rsidP="00F2042B">
            <w:pPr>
              <w:jc w:val="right"/>
              <w:rPr>
                <w:rFonts w:ascii="Arial" w:hAnsi="Arial" w:cs="Arial"/>
                <w:sz w:val="17"/>
                <w:szCs w:val="17"/>
              </w:rPr>
            </w:pPr>
            <w:r w:rsidRPr="00062243">
              <w:rPr>
                <w:rFonts w:ascii="Arial" w:hAnsi="Arial" w:cs="Arial"/>
                <w:sz w:val="17"/>
                <w:szCs w:val="17"/>
              </w:rPr>
              <w:t xml:space="preserve">13,544 </w:t>
            </w:r>
          </w:p>
        </w:tc>
      </w:tr>
      <w:tr w:rsidR="00F2042B" w:rsidRPr="002D70DA" w:rsidTr="001A0060">
        <w:trPr>
          <w:trHeight w:val="240"/>
          <w:jc w:val="center"/>
        </w:trPr>
        <w:tc>
          <w:tcPr>
            <w:tcW w:w="4900" w:type="dxa"/>
            <w:tcBorders>
              <w:top w:val="nil"/>
              <w:left w:val="nil"/>
              <w:bottom w:val="nil"/>
              <w:right w:val="single" w:sz="4" w:space="0" w:color="auto"/>
            </w:tcBorders>
            <w:shd w:val="clear" w:color="000000" w:fill="FFFFFF"/>
            <w:vAlign w:val="center"/>
            <w:hideMark/>
          </w:tcPr>
          <w:p w:rsidR="00F2042B" w:rsidRPr="002D70DA" w:rsidRDefault="00F2042B" w:rsidP="00F2042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F2042B" w:rsidRPr="00F2042B" w:rsidRDefault="00F2042B" w:rsidP="00F2042B">
            <w:pPr>
              <w:jc w:val="right"/>
              <w:rPr>
                <w:rFonts w:ascii="Arial" w:hAnsi="Arial" w:cs="Arial"/>
                <w:sz w:val="17"/>
                <w:szCs w:val="17"/>
              </w:rPr>
            </w:pPr>
            <w:r w:rsidRPr="00F2042B">
              <w:rPr>
                <w:rFonts w:ascii="Arial" w:hAnsi="Arial" w:cs="Arial"/>
                <w:sz w:val="17"/>
                <w:szCs w:val="17"/>
              </w:rPr>
              <w:fldChar w:fldCharType="begin"/>
            </w:r>
            <w:r w:rsidRPr="00F2042B">
              <w:rPr>
                <w:rFonts w:ascii="Arial" w:hAnsi="Arial" w:cs="Arial"/>
                <w:sz w:val="17"/>
                <w:szCs w:val="17"/>
              </w:rPr>
              <w:instrText xml:space="preserve"> =sum(above) \# "$#,##0.00;($#,##0.00)" </w:instrText>
            </w:r>
            <w:r w:rsidRPr="00F2042B">
              <w:rPr>
                <w:rFonts w:ascii="Arial" w:hAnsi="Arial" w:cs="Arial"/>
                <w:sz w:val="17"/>
                <w:szCs w:val="17"/>
              </w:rPr>
              <w:fldChar w:fldCharType="separate"/>
            </w:r>
            <w:r w:rsidRPr="00F2042B">
              <w:rPr>
                <w:rFonts w:ascii="Arial" w:hAnsi="Arial" w:cs="Arial"/>
                <w:b/>
                <w:sz w:val="17"/>
                <w:szCs w:val="17"/>
              </w:rPr>
              <w:t>49,474,98</w:t>
            </w:r>
            <w:r w:rsidRPr="00F2042B">
              <w:rPr>
                <w:rFonts w:ascii="Arial" w:hAnsi="Arial" w:cs="Arial"/>
                <w:sz w:val="17"/>
                <w:szCs w:val="17"/>
              </w:rPr>
              <w:t xml:space="preserve">3   </w:t>
            </w:r>
            <w:r w:rsidRPr="00F2042B">
              <w:rPr>
                <w:rFonts w:ascii="Arial" w:hAnsi="Arial" w:cs="Arial"/>
                <w:sz w:val="17"/>
                <w:szCs w:val="17"/>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F2042B" w:rsidRPr="002D70DA" w:rsidRDefault="00F2042B" w:rsidP="00F2042B">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t xml:space="preserve"> </w:t>
            </w:r>
            <w:r w:rsidRPr="00062243">
              <w:rPr>
                <w:rFonts w:ascii="Arial" w:hAnsi="Arial" w:cs="Arial"/>
                <w:b/>
                <w:bCs/>
                <w:noProof/>
                <w:color w:val="000000"/>
                <w:sz w:val="17"/>
                <w:szCs w:val="17"/>
                <w14:numForm w14:val="lining"/>
              </w:rPr>
              <w:t>551,670,981</w:t>
            </w:r>
            <w:r w:rsidRPr="007802CD">
              <w:rPr>
                <w:rFonts w:ascii="Arial" w:hAnsi="Arial" w:cs="Arial"/>
                <w:b/>
                <w:bCs/>
                <w:noProof/>
                <w:color w:val="000000"/>
                <w:sz w:val="17"/>
                <w:szCs w:val="17"/>
                <w14:numForm w14:val="lining"/>
              </w:rPr>
              <w:t xml:space="preserve">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bl>
    <w:p w:rsidR="00780EE6" w:rsidRDefault="00D47C67"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D</w:t>
      </w:r>
      <w:r w:rsidR="00780EE6">
        <w:rPr>
          <w:rFonts w:ascii="Arial" w:eastAsia="Calibri" w:hAnsi="Arial" w:cs="Arial"/>
          <w:spacing w:val="-1"/>
          <w:sz w:val="17"/>
          <w:szCs w:val="17"/>
        </w:rPr>
        <w:t>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0EE6" w:rsidRPr="002D70DA" w:rsidRDefault="00780EE6"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0EE6"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0EE6"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F2042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6C5E04" w:rsidRDefault="00F2042B" w:rsidP="00F2042B">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b/>
                <w:sz w:val="17"/>
                <w:szCs w:val="17"/>
              </w:rPr>
            </w:pPr>
            <w:r w:rsidRPr="00F2042B">
              <w:rPr>
                <w:rFonts w:ascii="Arial" w:hAnsi="Arial" w:cs="Arial"/>
                <w:b/>
                <w:sz w:val="17"/>
                <w:szCs w:val="17"/>
              </w:rPr>
              <w:t>18,302,528</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b/>
                <w:sz w:val="17"/>
                <w:szCs w:val="17"/>
              </w:rPr>
            </w:pPr>
            <w:r w:rsidRPr="00B95EFE">
              <w:rPr>
                <w:rFonts w:ascii="Arial" w:hAnsi="Arial" w:cs="Arial"/>
                <w:b/>
                <w:sz w:val="17"/>
                <w:szCs w:val="17"/>
              </w:rPr>
              <w:t>533,876,937</w:t>
            </w:r>
          </w:p>
        </w:tc>
      </w:tr>
      <w:tr w:rsidR="00F2042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6C5E04" w:rsidRDefault="00F2042B" w:rsidP="00F2042B">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b/>
                <w:sz w:val="17"/>
                <w:szCs w:val="17"/>
              </w:rPr>
            </w:pPr>
            <w:r w:rsidRPr="00F2042B">
              <w:rPr>
                <w:rFonts w:ascii="Arial" w:hAnsi="Arial" w:cs="Arial"/>
                <w:b/>
                <w:sz w:val="17"/>
                <w:szCs w:val="17"/>
              </w:rPr>
              <w:t>304,005</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b/>
                <w:sz w:val="17"/>
                <w:szCs w:val="17"/>
              </w:rPr>
            </w:pPr>
            <w:r w:rsidRPr="00B95EFE">
              <w:rPr>
                <w:rFonts w:ascii="Arial" w:hAnsi="Arial" w:cs="Arial"/>
                <w:b/>
                <w:sz w:val="17"/>
                <w:szCs w:val="17"/>
              </w:rPr>
              <w:t>-1,595</w:t>
            </w:r>
          </w:p>
        </w:tc>
      </w:tr>
      <w:tr w:rsidR="00F2042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6C5E04" w:rsidRDefault="00F2042B" w:rsidP="00F2042B">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b/>
                <w:sz w:val="17"/>
                <w:szCs w:val="17"/>
              </w:rPr>
            </w:pPr>
            <w:r>
              <w:rPr>
                <w:rFonts w:ascii="Arial" w:hAnsi="Arial" w:cs="Arial"/>
                <w:b/>
                <w:sz w:val="17"/>
                <w:szCs w:val="17"/>
              </w:rPr>
              <w:t>30,868,450</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b/>
                <w:sz w:val="17"/>
                <w:szCs w:val="17"/>
              </w:rPr>
            </w:pPr>
            <w:r w:rsidRPr="00B95EFE">
              <w:rPr>
                <w:rFonts w:ascii="Arial" w:hAnsi="Arial" w:cs="Arial"/>
                <w:b/>
                <w:sz w:val="17"/>
                <w:szCs w:val="17"/>
              </w:rPr>
              <w:t>17,795,638</w:t>
            </w:r>
          </w:p>
        </w:tc>
      </w:tr>
      <w:tr w:rsidR="00F2042B" w:rsidRPr="002D70DA" w:rsidTr="00F204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9D4479" w:rsidRDefault="00F2042B" w:rsidP="00F2042B">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800</w:t>
            </w:r>
          </w:p>
        </w:tc>
        <w:tc>
          <w:tcPr>
            <w:tcW w:w="2180" w:type="dxa"/>
            <w:tcBorders>
              <w:top w:val="single" w:sz="4" w:space="0" w:color="auto"/>
              <w:left w:val="nil"/>
              <w:bottom w:val="single" w:sz="4" w:space="0" w:color="auto"/>
              <w:right w:val="single" w:sz="4" w:space="0" w:color="auto"/>
            </w:tcBorders>
            <w:shd w:val="clear" w:color="auto" w:fill="auto"/>
          </w:tcPr>
          <w:p w:rsidR="00F2042B" w:rsidRPr="005B5FB9" w:rsidRDefault="00F2042B" w:rsidP="00F2042B">
            <w:pPr>
              <w:jc w:val="right"/>
              <w:rPr>
                <w:rFonts w:ascii="Arial" w:hAnsi="Arial" w:cs="Arial"/>
                <w:sz w:val="17"/>
                <w:szCs w:val="17"/>
              </w:rPr>
            </w:pPr>
            <w:r w:rsidRPr="005B5FB9">
              <w:rPr>
                <w:rFonts w:ascii="Arial" w:hAnsi="Arial" w:cs="Arial"/>
                <w:sz w:val="17"/>
                <w:szCs w:val="17"/>
              </w:rPr>
              <w:t>1,416,659</w:t>
            </w:r>
          </w:p>
        </w:tc>
      </w:tr>
      <w:tr w:rsidR="00F2042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9D4479" w:rsidRDefault="00F2042B" w:rsidP="00F2042B">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42,495</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sz w:val="17"/>
                <w:szCs w:val="17"/>
              </w:rPr>
            </w:pPr>
            <w:r w:rsidRPr="00B95EFE">
              <w:rPr>
                <w:rFonts w:ascii="Arial" w:hAnsi="Arial" w:cs="Arial"/>
                <w:sz w:val="17"/>
                <w:szCs w:val="17"/>
              </w:rPr>
              <w:t>56,287</w:t>
            </w:r>
          </w:p>
        </w:tc>
      </w:tr>
      <w:tr w:rsidR="00F2042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9D4479" w:rsidRDefault="00F2042B" w:rsidP="00F2042B">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36,286</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sz w:val="17"/>
                <w:szCs w:val="17"/>
              </w:rPr>
            </w:pPr>
            <w:r w:rsidRPr="00B95EFE">
              <w:rPr>
                <w:rFonts w:ascii="Arial" w:hAnsi="Arial" w:cs="Arial"/>
                <w:sz w:val="17"/>
                <w:szCs w:val="17"/>
              </w:rPr>
              <w:t>63,497</w:t>
            </w:r>
          </w:p>
        </w:tc>
      </w:tr>
      <w:tr w:rsidR="00F2042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9D4479" w:rsidRDefault="00F2042B" w:rsidP="00F2042B">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30,664,363</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sz w:val="17"/>
                <w:szCs w:val="17"/>
              </w:rPr>
            </w:pPr>
            <w:r w:rsidRPr="00B95EFE">
              <w:rPr>
                <w:rFonts w:ascii="Arial" w:hAnsi="Arial" w:cs="Arial"/>
                <w:sz w:val="17"/>
                <w:szCs w:val="17"/>
              </w:rPr>
              <w:t>17,525,896</w:t>
            </w:r>
          </w:p>
        </w:tc>
      </w:tr>
      <w:tr w:rsidR="00F2042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9D4479" w:rsidRDefault="00F2042B" w:rsidP="00F2042B">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103,000</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sz w:val="17"/>
                <w:szCs w:val="17"/>
              </w:rPr>
            </w:pPr>
            <w:r w:rsidRPr="00B95EFE">
              <w:rPr>
                <w:rFonts w:ascii="Arial" w:hAnsi="Arial" w:cs="Arial"/>
                <w:sz w:val="17"/>
                <w:szCs w:val="17"/>
              </w:rPr>
              <w:t>110,419</w:t>
            </w:r>
          </w:p>
        </w:tc>
      </w:tr>
      <w:tr w:rsidR="00F2042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9D4479" w:rsidRDefault="00F2042B" w:rsidP="00F2042B">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19,892</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sz w:val="17"/>
                <w:szCs w:val="17"/>
              </w:rPr>
            </w:pPr>
            <w:r w:rsidRPr="00B95EFE">
              <w:rPr>
                <w:rFonts w:ascii="Arial" w:hAnsi="Arial" w:cs="Arial"/>
                <w:sz w:val="17"/>
                <w:szCs w:val="17"/>
              </w:rPr>
              <w:t>29,302</w:t>
            </w:r>
          </w:p>
        </w:tc>
      </w:tr>
      <w:tr w:rsidR="00F2042B" w:rsidRPr="002D70DA" w:rsidTr="0017452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042B" w:rsidRPr="009D4479" w:rsidRDefault="00F2042B" w:rsidP="00F2042B">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2042B" w:rsidRPr="00F2042B" w:rsidRDefault="00F2042B" w:rsidP="00F2042B">
            <w:pPr>
              <w:jc w:val="right"/>
              <w:rPr>
                <w:rFonts w:ascii="Arial" w:hAnsi="Arial" w:cs="Arial"/>
                <w:sz w:val="17"/>
                <w:szCs w:val="17"/>
              </w:rPr>
            </w:pPr>
            <w:r w:rsidRPr="00F2042B">
              <w:rPr>
                <w:rFonts w:ascii="Arial" w:hAnsi="Arial" w:cs="Arial"/>
                <w:sz w:val="17"/>
                <w:szCs w:val="17"/>
              </w:rPr>
              <w:t>1,614</w:t>
            </w:r>
          </w:p>
        </w:tc>
        <w:tc>
          <w:tcPr>
            <w:tcW w:w="2180" w:type="dxa"/>
            <w:tcBorders>
              <w:top w:val="single" w:sz="4" w:space="0" w:color="auto"/>
              <w:left w:val="nil"/>
              <w:bottom w:val="single" w:sz="4" w:space="0" w:color="auto"/>
              <w:right w:val="single" w:sz="4" w:space="0" w:color="auto"/>
            </w:tcBorders>
            <w:shd w:val="clear" w:color="auto" w:fill="auto"/>
          </w:tcPr>
          <w:p w:rsidR="00F2042B" w:rsidRPr="00B95EFE" w:rsidRDefault="00F2042B" w:rsidP="00F2042B">
            <w:pPr>
              <w:jc w:val="right"/>
              <w:rPr>
                <w:rFonts w:ascii="Arial" w:hAnsi="Arial" w:cs="Arial"/>
                <w:sz w:val="17"/>
                <w:szCs w:val="17"/>
              </w:rPr>
            </w:pPr>
            <w:r w:rsidRPr="00B95EFE">
              <w:rPr>
                <w:rFonts w:ascii="Arial" w:hAnsi="Arial" w:cs="Arial"/>
                <w:sz w:val="17"/>
                <w:szCs w:val="17"/>
              </w:rPr>
              <w:t>10,237</w:t>
            </w:r>
          </w:p>
        </w:tc>
      </w:tr>
      <w:tr w:rsidR="00F2042B" w:rsidRPr="002D70DA" w:rsidTr="0017452C">
        <w:trPr>
          <w:trHeight w:val="240"/>
          <w:jc w:val="center"/>
        </w:trPr>
        <w:tc>
          <w:tcPr>
            <w:tcW w:w="4900" w:type="dxa"/>
            <w:tcBorders>
              <w:top w:val="nil"/>
              <w:left w:val="nil"/>
              <w:bottom w:val="nil"/>
              <w:right w:val="single" w:sz="4" w:space="0" w:color="auto"/>
            </w:tcBorders>
            <w:shd w:val="clear" w:color="000000" w:fill="FFFFFF"/>
            <w:vAlign w:val="center"/>
            <w:hideMark/>
          </w:tcPr>
          <w:p w:rsidR="00F2042B" w:rsidRPr="002D70DA" w:rsidRDefault="00F2042B" w:rsidP="00F2042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F2042B" w:rsidRPr="00F2042B" w:rsidRDefault="00F2042B" w:rsidP="00F2042B">
            <w:pPr>
              <w:jc w:val="right"/>
              <w:rPr>
                <w:rFonts w:ascii="Arial" w:hAnsi="Arial" w:cs="Arial"/>
                <w:b/>
                <w:sz w:val="17"/>
                <w:szCs w:val="17"/>
              </w:rPr>
            </w:pPr>
            <w:r w:rsidRPr="00F2042B">
              <w:rPr>
                <w:rFonts w:ascii="Arial" w:hAnsi="Arial" w:cs="Arial"/>
                <w:b/>
                <w:sz w:val="17"/>
                <w:szCs w:val="17"/>
              </w:rPr>
              <w:t>49,474,983</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042B" w:rsidRPr="005B5FB9" w:rsidRDefault="00F2042B" w:rsidP="00F2042B">
            <w:pPr>
              <w:jc w:val="right"/>
              <w:rPr>
                <w:rFonts w:ascii="Arial" w:hAnsi="Arial" w:cs="Arial"/>
                <w:b/>
                <w:bCs/>
                <w:color w:val="000000"/>
                <w:sz w:val="17"/>
                <w:szCs w:val="17"/>
                <w14:numForm w14:val="lining"/>
              </w:rPr>
            </w:pPr>
            <w:r w:rsidRPr="00B95EFE">
              <w:rPr>
                <w:rFonts w:ascii="Arial" w:hAnsi="Arial" w:cs="Arial"/>
                <w:b/>
                <w:bCs/>
                <w:color w:val="000000"/>
                <w:sz w:val="17"/>
                <w:szCs w:val="17"/>
                <w14:numForm w14:val="lining"/>
              </w:rPr>
              <w:t>551,670,981</w:t>
            </w:r>
          </w:p>
        </w:tc>
      </w:tr>
    </w:tbl>
    <w:p w:rsidR="00D47C67" w:rsidRDefault="00D47C67" w:rsidP="00454AB9">
      <w:pPr>
        <w:spacing w:before="80" w:line="250" w:lineRule="exact"/>
        <w:ind w:left="709"/>
        <w:jc w:val="both"/>
        <w:rPr>
          <w:rFonts w:ascii="Arial" w:eastAsia="Calibri" w:hAnsi="Arial" w:cs="Arial"/>
          <w:spacing w:val="-1"/>
          <w:sz w:val="17"/>
          <w:szCs w:val="17"/>
        </w:rPr>
      </w:pPr>
    </w:p>
    <w:p w:rsidR="00D47C67" w:rsidRDefault="00D47C67" w:rsidP="00454AB9">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Reducción de </w:t>
      </w:r>
      <w:r w:rsidR="0017452C">
        <w:rPr>
          <w:rFonts w:ascii="Arial" w:eastAsia="Calibri" w:hAnsi="Arial" w:cs="Arial"/>
          <w:spacing w:val="-1"/>
          <w:sz w:val="17"/>
          <w:szCs w:val="17"/>
        </w:rPr>
        <w:t>88</w:t>
      </w:r>
      <w:r>
        <w:rPr>
          <w:rFonts w:ascii="Arial" w:eastAsia="Calibri" w:hAnsi="Arial" w:cs="Arial"/>
          <w:spacing w:val="-1"/>
          <w:sz w:val="17"/>
          <w:szCs w:val="17"/>
        </w:rPr>
        <w:t>.</w:t>
      </w:r>
      <w:r w:rsidR="0017452C">
        <w:rPr>
          <w:rFonts w:ascii="Arial" w:eastAsia="Calibri" w:hAnsi="Arial" w:cs="Arial"/>
          <w:spacing w:val="-1"/>
          <w:sz w:val="17"/>
          <w:szCs w:val="17"/>
        </w:rPr>
        <w:t>8</w:t>
      </w:r>
      <w:r>
        <w:rPr>
          <w:rFonts w:ascii="Arial" w:eastAsia="Calibri" w:hAnsi="Arial" w:cs="Arial"/>
          <w:spacing w:val="-1"/>
          <w:sz w:val="17"/>
          <w:szCs w:val="17"/>
        </w:rPr>
        <w:t xml:space="preserve">% derivado </w:t>
      </w:r>
      <w:r w:rsidR="0017452C">
        <w:rPr>
          <w:rFonts w:ascii="Arial" w:eastAsia="Calibri" w:hAnsi="Arial" w:cs="Arial"/>
          <w:spacing w:val="-1"/>
          <w:sz w:val="17"/>
          <w:szCs w:val="17"/>
        </w:rPr>
        <w:t>principalmente por</w:t>
      </w:r>
      <w:r>
        <w:rPr>
          <w:rFonts w:ascii="Arial" w:eastAsia="Calibri" w:hAnsi="Arial" w:cs="Arial"/>
          <w:spacing w:val="-1"/>
          <w:sz w:val="17"/>
          <w:szCs w:val="17"/>
        </w:rPr>
        <w:t>:</w:t>
      </w:r>
    </w:p>
    <w:p w:rsidR="0017452C" w:rsidRPr="001E5858" w:rsidRDefault="0017452C" w:rsidP="0017452C">
      <w:pPr>
        <w:spacing w:before="80" w:line="250" w:lineRule="exact"/>
        <w:ind w:left="709"/>
        <w:jc w:val="both"/>
        <w:rPr>
          <w:rFonts w:ascii="Arial" w:eastAsia="Calibri" w:hAnsi="Arial" w:cs="Arial"/>
          <w:spacing w:val="-1"/>
          <w:sz w:val="17"/>
          <w:szCs w:val="17"/>
        </w:rPr>
      </w:pPr>
      <w:r w:rsidRPr="001E5858">
        <w:rPr>
          <w:rFonts w:ascii="Arial" w:eastAsia="Calibri" w:hAnsi="Arial" w:cs="Arial"/>
          <w:spacing w:val="-1"/>
          <w:sz w:val="17"/>
          <w:szCs w:val="17"/>
        </w:rPr>
        <w:t xml:space="preserve">La disminución del saldo en Inversiones Financieras de Corto Plazo </w:t>
      </w:r>
      <w:r>
        <w:rPr>
          <w:rFonts w:ascii="Arial" w:eastAsia="Calibri" w:hAnsi="Arial" w:cs="Arial"/>
          <w:spacing w:val="-1"/>
          <w:sz w:val="17"/>
          <w:szCs w:val="17"/>
        </w:rPr>
        <w:t>debido</w:t>
      </w:r>
      <w:r w:rsidRPr="001E5858">
        <w:rPr>
          <w:rFonts w:ascii="Arial" w:eastAsia="Calibri" w:hAnsi="Arial" w:cs="Arial"/>
          <w:spacing w:val="-1"/>
          <w:sz w:val="17"/>
          <w:szCs w:val="17"/>
        </w:rPr>
        <w:t xml:space="preserve"> a la reclasificación efectuada al rubro de Inversiones Temporales (Hasta 3 meses).</w:t>
      </w:r>
    </w:p>
    <w:p w:rsidR="00D47C67" w:rsidRDefault="00D47C67" w:rsidP="00454AB9">
      <w:pPr>
        <w:spacing w:before="80" w:line="250" w:lineRule="exact"/>
        <w:ind w:left="709"/>
        <w:jc w:val="both"/>
        <w:rPr>
          <w:rFonts w:ascii="Arial" w:eastAsia="Calibri" w:hAnsi="Arial" w:cs="Arial"/>
          <w:spacing w:val="-1"/>
          <w:sz w:val="17"/>
          <w:szCs w:val="17"/>
        </w:rPr>
      </w:pPr>
    </w:p>
    <w:p w:rsidR="002627EB" w:rsidRPr="002D70DA" w:rsidRDefault="002627EB" w:rsidP="002627EB">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Pr>
          <w:rFonts w:ascii="Arial" w:eastAsia="Calibri" w:hAnsi="Arial" w:cs="Arial"/>
          <w:b/>
          <w:spacing w:val="-1"/>
          <w:sz w:val="17"/>
          <w:szCs w:val="17"/>
        </w:rPr>
        <w:t>bienes</w:t>
      </w:r>
      <w:r w:rsidRPr="002D70DA">
        <w:rPr>
          <w:rFonts w:ascii="Arial" w:eastAsia="Calibri" w:hAnsi="Arial" w:cs="Arial"/>
          <w:b/>
          <w:spacing w:val="-1"/>
          <w:sz w:val="17"/>
          <w:szCs w:val="17"/>
        </w:rPr>
        <w:t xml:space="preserve"> o </w:t>
      </w:r>
      <w:r>
        <w:rPr>
          <w:rFonts w:ascii="Arial" w:eastAsia="Calibri" w:hAnsi="Arial" w:cs="Arial"/>
          <w:b/>
          <w:spacing w:val="-1"/>
          <w:sz w:val="17"/>
          <w:szCs w:val="17"/>
        </w:rPr>
        <w:t>servicio</w:t>
      </w:r>
      <w:r w:rsidRPr="002D70DA">
        <w:rPr>
          <w:rFonts w:ascii="Arial" w:eastAsia="Calibri" w:hAnsi="Arial" w:cs="Arial"/>
          <w:b/>
          <w:spacing w:val="-1"/>
          <w:sz w:val="17"/>
          <w:szCs w:val="17"/>
        </w:rPr>
        <w:t>s:</w:t>
      </w:r>
    </w:p>
    <w:p w:rsidR="00454AB9" w:rsidRDefault="00454AB9" w:rsidP="00454AB9">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w:t>
      </w:r>
      <w:r>
        <w:rPr>
          <w:rFonts w:ascii="Arial" w:eastAsia="Calibri" w:hAnsi="Arial" w:cs="Arial"/>
          <w:spacing w:val="-1"/>
          <w:sz w:val="17"/>
          <w:szCs w:val="17"/>
        </w:rPr>
        <w:t xml:space="preserve">lo que respecta al </w:t>
      </w:r>
      <w:r w:rsidRPr="00560276">
        <w:rPr>
          <w:rFonts w:ascii="Arial" w:eastAsia="Calibri" w:hAnsi="Arial" w:cs="Arial"/>
          <w:spacing w:val="-1"/>
          <w:sz w:val="17"/>
          <w:szCs w:val="17"/>
        </w:rPr>
        <w:t xml:space="preserve">rubro </w:t>
      </w:r>
      <w:r>
        <w:rPr>
          <w:rFonts w:ascii="Arial" w:eastAsia="Calibri" w:hAnsi="Arial" w:cs="Arial"/>
          <w:spacing w:val="-1"/>
          <w:sz w:val="17"/>
          <w:szCs w:val="17"/>
        </w:rPr>
        <w:t>D</w:t>
      </w:r>
      <w:r w:rsidRPr="00560276">
        <w:rPr>
          <w:rFonts w:ascii="Arial" w:eastAsia="Calibri" w:hAnsi="Arial" w:cs="Arial"/>
          <w:spacing w:val="-1"/>
          <w:sz w:val="17"/>
          <w:szCs w:val="17"/>
        </w:rPr>
        <w:t xml:space="preserve">erechos a </w:t>
      </w:r>
      <w:r>
        <w:rPr>
          <w:rFonts w:ascii="Arial" w:eastAsia="Calibri" w:hAnsi="Arial" w:cs="Arial"/>
          <w:spacing w:val="-1"/>
          <w:sz w:val="17"/>
          <w:szCs w:val="17"/>
        </w:rPr>
        <w:t>R</w:t>
      </w:r>
      <w:r w:rsidRPr="00560276">
        <w:rPr>
          <w:rFonts w:ascii="Arial" w:eastAsia="Calibri" w:hAnsi="Arial" w:cs="Arial"/>
          <w:spacing w:val="-1"/>
          <w:sz w:val="17"/>
          <w:szCs w:val="17"/>
        </w:rPr>
        <w:t xml:space="preserve">ecibir </w:t>
      </w:r>
      <w:r>
        <w:rPr>
          <w:rFonts w:ascii="Arial" w:eastAsia="Calibri" w:hAnsi="Arial" w:cs="Arial"/>
          <w:spacing w:val="-1"/>
          <w:sz w:val="17"/>
          <w:szCs w:val="17"/>
        </w:rPr>
        <w:t>Bienes o Servicios</w:t>
      </w:r>
      <w:r w:rsidRPr="00560276">
        <w:rPr>
          <w:rFonts w:ascii="Arial" w:eastAsia="Calibri" w:hAnsi="Arial" w:cs="Arial"/>
          <w:spacing w:val="-1"/>
          <w:sz w:val="17"/>
          <w:szCs w:val="17"/>
        </w:rPr>
        <w:t xml:space="preserve"> </w:t>
      </w:r>
      <w:r w:rsidRPr="007802CD">
        <w:rPr>
          <w:rFonts w:ascii="Arial" w:eastAsia="Calibri" w:hAnsi="Arial" w:cs="Arial"/>
          <w:spacing w:val="-1"/>
          <w:sz w:val="17"/>
          <w:szCs w:val="17"/>
        </w:rPr>
        <w:t xml:space="preserve">se informa la integración </w:t>
      </w:r>
      <w:r>
        <w:rPr>
          <w:rFonts w:ascii="Arial" w:eastAsia="Calibri" w:hAnsi="Arial" w:cs="Arial"/>
          <w:spacing w:val="-1"/>
          <w:sz w:val="17"/>
          <w:szCs w:val="17"/>
        </w:rPr>
        <w:t xml:space="preserve">al cierre del ejercicio del </w:t>
      </w:r>
      <w:r w:rsidR="00582811">
        <w:rPr>
          <w:rFonts w:ascii="Arial" w:eastAsia="Calibri" w:hAnsi="Arial" w:cs="Arial"/>
          <w:spacing w:val="-1"/>
          <w:sz w:val="17"/>
          <w:szCs w:val="17"/>
        </w:rPr>
        <w:t>2017</w:t>
      </w:r>
      <w:r>
        <w:rPr>
          <w:rFonts w:ascii="Arial" w:eastAsia="Calibri" w:hAnsi="Arial" w:cs="Arial"/>
          <w:spacing w:val="-1"/>
          <w:sz w:val="17"/>
          <w:szCs w:val="17"/>
        </w:rPr>
        <w:t>:</w:t>
      </w:r>
    </w:p>
    <w:p w:rsidR="00454AB9" w:rsidRPr="00ED5AC6" w:rsidRDefault="00454AB9" w:rsidP="00454AB9">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54AB9"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54AB9" w:rsidRPr="002D70DA" w:rsidRDefault="00454AB9" w:rsidP="002A78B5">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4AB9"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4AB9"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8F6D3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6D3B" w:rsidRPr="00560276" w:rsidRDefault="008F6D3B" w:rsidP="008F6D3B">
            <w:pPr>
              <w:rPr>
                <w:rFonts w:ascii="Arial" w:hAnsi="Arial" w:cs="Arial"/>
                <w:sz w:val="17"/>
                <w:szCs w:val="17"/>
              </w:rPr>
            </w:pPr>
            <w:r>
              <w:rPr>
                <w:rFonts w:ascii="Arial" w:hAnsi="Arial" w:cs="Arial"/>
                <w:sz w:val="17"/>
                <w:szCs w:val="17"/>
              </w:rPr>
              <w:t xml:space="preserve">Anticipo a Proveedores por Adquisición de Bienes y Prestación de Servicios </w:t>
            </w:r>
            <w:r w:rsidRPr="00454AB9">
              <w:rPr>
                <w:rFonts w:ascii="Arial" w:hAnsi="Arial" w:cs="Arial"/>
                <w:sz w:val="17"/>
                <w:szCs w:val="17"/>
              </w:rPr>
              <w:t>a Corto Plazo</w:t>
            </w:r>
          </w:p>
        </w:tc>
        <w:tc>
          <w:tcPr>
            <w:tcW w:w="2180" w:type="dxa"/>
            <w:tcBorders>
              <w:top w:val="single" w:sz="4" w:space="0" w:color="auto"/>
              <w:left w:val="nil"/>
              <w:bottom w:val="single" w:sz="4" w:space="0" w:color="auto"/>
              <w:right w:val="single" w:sz="4" w:space="0" w:color="auto"/>
            </w:tcBorders>
            <w:shd w:val="clear" w:color="auto" w:fill="auto"/>
          </w:tcPr>
          <w:p w:rsidR="008F6D3B" w:rsidRPr="008F6D3B" w:rsidRDefault="008F6D3B" w:rsidP="008F6D3B">
            <w:pPr>
              <w:jc w:val="right"/>
              <w:rPr>
                <w:rFonts w:ascii="Arial" w:hAnsi="Arial" w:cs="Arial"/>
                <w:sz w:val="17"/>
                <w:szCs w:val="17"/>
              </w:rPr>
            </w:pPr>
            <w:r w:rsidRPr="008F6D3B">
              <w:rPr>
                <w:rFonts w:ascii="Arial" w:hAnsi="Arial" w:cs="Arial"/>
                <w:sz w:val="17"/>
                <w:szCs w:val="17"/>
              </w:rPr>
              <w:t>437,615</w:t>
            </w:r>
          </w:p>
        </w:tc>
        <w:tc>
          <w:tcPr>
            <w:tcW w:w="2180" w:type="dxa"/>
            <w:tcBorders>
              <w:top w:val="single" w:sz="4" w:space="0" w:color="auto"/>
              <w:left w:val="nil"/>
              <w:bottom w:val="single" w:sz="4" w:space="0" w:color="auto"/>
              <w:right w:val="single" w:sz="4" w:space="0" w:color="auto"/>
            </w:tcBorders>
            <w:shd w:val="clear" w:color="auto" w:fill="auto"/>
          </w:tcPr>
          <w:p w:rsidR="008F6D3B" w:rsidRPr="00B52BA4" w:rsidRDefault="008F6D3B" w:rsidP="008F6D3B">
            <w:pPr>
              <w:jc w:val="right"/>
              <w:rPr>
                <w:rFonts w:ascii="Arial" w:hAnsi="Arial" w:cs="Arial"/>
                <w:sz w:val="17"/>
                <w:szCs w:val="17"/>
              </w:rPr>
            </w:pPr>
            <w:r w:rsidRPr="00B52BA4">
              <w:rPr>
                <w:rFonts w:ascii="Arial" w:hAnsi="Arial" w:cs="Arial"/>
                <w:sz w:val="17"/>
                <w:szCs w:val="17"/>
              </w:rPr>
              <w:t xml:space="preserve">64,429 </w:t>
            </w:r>
          </w:p>
        </w:tc>
      </w:tr>
      <w:tr w:rsidR="008F6D3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6D3B" w:rsidRDefault="008F6D3B" w:rsidP="008F6D3B">
            <w:pPr>
              <w:rPr>
                <w:rFonts w:ascii="Arial" w:hAnsi="Arial" w:cs="Arial"/>
                <w:sz w:val="17"/>
                <w:szCs w:val="17"/>
              </w:rPr>
            </w:pPr>
            <w:r w:rsidRPr="00B52BA4">
              <w:rPr>
                <w:rFonts w:ascii="Arial" w:hAnsi="Arial" w:cs="Arial"/>
                <w:sz w:val="17"/>
                <w:szCs w:val="17"/>
              </w:rPr>
              <w:t>Anticipo a</w:t>
            </w:r>
            <w:r>
              <w:rPr>
                <w:rFonts w:ascii="Arial" w:hAnsi="Arial" w:cs="Arial"/>
                <w:sz w:val="17"/>
                <w:szCs w:val="17"/>
              </w:rPr>
              <w:t xml:space="preserve"> Proveedores por Adquisición de Bienes</w:t>
            </w:r>
            <w:r w:rsidRPr="00B52BA4">
              <w:rPr>
                <w:rFonts w:ascii="Arial" w:hAnsi="Arial" w:cs="Arial"/>
                <w:sz w:val="17"/>
                <w:szCs w:val="17"/>
              </w:rPr>
              <w:t xml:space="preserve"> Inmuebles y</w:t>
            </w:r>
            <w:r>
              <w:rPr>
                <w:rFonts w:ascii="Arial" w:hAnsi="Arial" w:cs="Arial"/>
                <w:sz w:val="17"/>
                <w:szCs w:val="17"/>
              </w:rPr>
              <w:t xml:space="preserve"> Muebles a </w:t>
            </w:r>
            <w:r w:rsidRPr="00B52BA4">
              <w:rPr>
                <w:rFonts w:ascii="Arial" w:hAnsi="Arial" w:cs="Arial"/>
                <w:sz w:val="17"/>
                <w:szCs w:val="17"/>
              </w:rPr>
              <w:t>Corto Plazo</w:t>
            </w:r>
          </w:p>
        </w:tc>
        <w:tc>
          <w:tcPr>
            <w:tcW w:w="2180" w:type="dxa"/>
            <w:tcBorders>
              <w:top w:val="single" w:sz="4" w:space="0" w:color="auto"/>
              <w:left w:val="nil"/>
              <w:bottom w:val="single" w:sz="4" w:space="0" w:color="auto"/>
              <w:right w:val="single" w:sz="4" w:space="0" w:color="auto"/>
            </w:tcBorders>
            <w:shd w:val="clear" w:color="auto" w:fill="auto"/>
          </w:tcPr>
          <w:p w:rsidR="008F6D3B" w:rsidRPr="008F6D3B" w:rsidRDefault="008F6D3B" w:rsidP="008F6D3B">
            <w:pPr>
              <w:jc w:val="right"/>
              <w:rPr>
                <w:rFonts w:ascii="Arial" w:hAnsi="Arial" w:cs="Arial"/>
                <w:sz w:val="17"/>
                <w:szCs w:val="17"/>
              </w:rPr>
            </w:pPr>
            <w:r w:rsidRPr="008F6D3B">
              <w:rPr>
                <w:rFonts w:ascii="Arial" w:hAnsi="Arial" w:cs="Arial"/>
                <w:sz w:val="17"/>
                <w:szCs w:val="17"/>
              </w:rPr>
              <w:t>89,200</w:t>
            </w:r>
          </w:p>
        </w:tc>
        <w:tc>
          <w:tcPr>
            <w:tcW w:w="2180" w:type="dxa"/>
            <w:tcBorders>
              <w:top w:val="single" w:sz="4" w:space="0" w:color="auto"/>
              <w:left w:val="nil"/>
              <w:bottom w:val="single" w:sz="4" w:space="0" w:color="auto"/>
              <w:right w:val="single" w:sz="4" w:space="0" w:color="auto"/>
            </w:tcBorders>
            <w:shd w:val="clear" w:color="auto" w:fill="auto"/>
          </w:tcPr>
          <w:p w:rsidR="008F6D3B" w:rsidRPr="00B52BA4" w:rsidRDefault="008F6D3B" w:rsidP="008F6D3B">
            <w:pPr>
              <w:jc w:val="right"/>
              <w:rPr>
                <w:rFonts w:ascii="Arial" w:hAnsi="Arial" w:cs="Arial"/>
                <w:sz w:val="17"/>
                <w:szCs w:val="17"/>
              </w:rPr>
            </w:pPr>
            <w:r w:rsidRPr="00B52BA4">
              <w:rPr>
                <w:rFonts w:ascii="Arial" w:hAnsi="Arial" w:cs="Arial"/>
                <w:sz w:val="17"/>
                <w:szCs w:val="17"/>
              </w:rPr>
              <w:t xml:space="preserve">7,200 </w:t>
            </w:r>
          </w:p>
        </w:tc>
      </w:tr>
      <w:tr w:rsidR="008F6D3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6D3B" w:rsidRPr="00560276" w:rsidRDefault="008F6D3B" w:rsidP="008F6D3B">
            <w:pPr>
              <w:rPr>
                <w:rFonts w:ascii="Arial" w:hAnsi="Arial" w:cs="Arial"/>
                <w:sz w:val="17"/>
                <w:szCs w:val="17"/>
              </w:rPr>
            </w:pPr>
            <w:r w:rsidRPr="00FD1452">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8F6D3B" w:rsidRPr="00B52BA4" w:rsidRDefault="008F6D3B" w:rsidP="008F6D3B">
            <w:pPr>
              <w:jc w:val="right"/>
              <w:rPr>
                <w:rFonts w:ascii="Arial" w:hAnsi="Arial" w:cs="Arial"/>
                <w:sz w:val="17"/>
                <w:szCs w:val="17"/>
              </w:rPr>
            </w:pPr>
            <w:r w:rsidRPr="008F6D3B">
              <w:rPr>
                <w:rFonts w:ascii="Arial" w:hAnsi="Arial" w:cs="Arial"/>
                <w:sz w:val="17"/>
                <w:szCs w:val="17"/>
              </w:rPr>
              <w:t>50,813,933</w:t>
            </w:r>
          </w:p>
        </w:tc>
        <w:tc>
          <w:tcPr>
            <w:tcW w:w="2180" w:type="dxa"/>
            <w:tcBorders>
              <w:top w:val="single" w:sz="4" w:space="0" w:color="auto"/>
              <w:left w:val="nil"/>
              <w:bottom w:val="single" w:sz="4" w:space="0" w:color="auto"/>
              <w:right w:val="single" w:sz="4" w:space="0" w:color="auto"/>
            </w:tcBorders>
            <w:shd w:val="clear" w:color="auto" w:fill="auto"/>
          </w:tcPr>
          <w:p w:rsidR="008F6D3B" w:rsidRPr="00B52BA4" w:rsidRDefault="008F6D3B" w:rsidP="008F6D3B">
            <w:pPr>
              <w:jc w:val="right"/>
              <w:rPr>
                <w:rFonts w:ascii="Arial" w:hAnsi="Arial" w:cs="Arial"/>
                <w:sz w:val="17"/>
                <w:szCs w:val="17"/>
              </w:rPr>
            </w:pPr>
            <w:r w:rsidRPr="00B52BA4">
              <w:rPr>
                <w:rFonts w:ascii="Arial" w:hAnsi="Arial" w:cs="Arial"/>
                <w:sz w:val="17"/>
                <w:szCs w:val="17"/>
              </w:rPr>
              <w:t xml:space="preserve">0 </w:t>
            </w:r>
          </w:p>
        </w:tc>
      </w:tr>
      <w:tr w:rsidR="008F6D3B"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8F6D3B" w:rsidRPr="002D70DA" w:rsidRDefault="008F6D3B" w:rsidP="008F6D3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8F6D3B" w:rsidRPr="008F6D3B" w:rsidRDefault="008F6D3B" w:rsidP="008F6D3B">
            <w:pPr>
              <w:jc w:val="right"/>
              <w:rPr>
                <w:rFonts w:ascii="Arial" w:hAnsi="Arial" w:cs="Arial"/>
                <w:b/>
                <w:sz w:val="17"/>
                <w:szCs w:val="17"/>
              </w:rPr>
            </w:pPr>
            <w:r w:rsidRPr="008F6D3B">
              <w:rPr>
                <w:rFonts w:ascii="Arial" w:hAnsi="Arial" w:cs="Arial"/>
                <w:sz w:val="17"/>
                <w:szCs w:val="17"/>
              </w:rPr>
              <w:fldChar w:fldCharType="begin"/>
            </w:r>
            <w:r w:rsidRPr="008F6D3B">
              <w:rPr>
                <w:rFonts w:ascii="Arial" w:hAnsi="Arial" w:cs="Arial"/>
                <w:sz w:val="17"/>
                <w:szCs w:val="17"/>
              </w:rPr>
              <w:instrText xml:space="preserve"> =sum(above) \# "$#,##0.00;($#,##0.00)" </w:instrText>
            </w:r>
            <w:r w:rsidRPr="008F6D3B">
              <w:rPr>
                <w:rFonts w:ascii="Arial" w:hAnsi="Arial" w:cs="Arial"/>
                <w:sz w:val="17"/>
                <w:szCs w:val="17"/>
              </w:rPr>
              <w:fldChar w:fldCharType="separate"/>
            </w:r>
            <w:r w:rsidRPr="008F6D3B">
              <w:rPr>
                <w:rFonts w:ascii="Arial" w:hAnsi="Arial" w:cs="Arial"/>
                <w:b/>
                <w:sz w:val="17"/>
                <w:szCs w:val="17"/>
              </w:rPr>
              <w:t xml:space="preserve"> 51,340,748     </w:t>
            </w:r>
            <w:r w:rsidRPr="008F6D3B">
              <w:rPr>
                <w:rFonts w:ascii="Arial" w:hAnsi="Arial" w:cs="Arial"/>
                <w:b/>
                <w:sz w:val="17"/>
                <w:szCs w:val="17"/>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F6D3B" w:rsidRPr="002D70DA" w:rsidRDefault="008F6D3B" w:rsidP="008F6D3B">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t xml:space="preserve"> </w:t>
            </w:r>
            <w:r w:rsidRPr="00B52BA4">
              <w:rPr>
                <w:rFonts w:ascii="Arial" w:hAnsi="Arial" w:cs="Arial"/>
                <w:b/>
                <w:bCs/>
                <w:noProof/>
                <w:color w:val="000000"/>
                <w:sz w:val="17"/>
                <w:szCs w:val="17"/>
                <w14:numForm w14:val="lining"/>
              </w:rPr>
              <w:t xml:space="preserve">71,629 </w:t>
            </w:r>
            <w:r w:rsidRPr="00480EEE">
              <w:rPr>
                <w:rFonts w:ascii="Arial" w:hAnsi="Arial" w:cs="Arial"/>
                <w:b/>
                <w:bCs/>
                <w:noProof/>
                <w:color w:val="000000"/>
                <w:sz w:val="17"/>
                <w:szCs w:val="17"/>
                <w14:numForm w14:val="lining"/>
              </w:rPr>
              <w:t xml:space="preserve"> </w:t>
            </w:r>
            <w:r w:rsidRPr="007802CD">
              <w:rPr>
                <w:rFonts w:ascii="Arial" w:hAnsi="Arial" w:cs="Arial"/>
                <w:b/>
                <w:bCs/>
                <w:noProof/>
                <w:color w:val="000000"/>
                <w:sz w:val="17"/>
                <w:szCs w:val="17"/>
                <w14:numForm w14:val="lining"/>
              </w:rPr>
              <w:t xml:space="preserve">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bl>
    <w:p w:rsidR="00B52BA4" w:rsidRDefault="00B52BA4" w:rsidP="00062243">
      <w:pPr>
        <w:autoSpaceDE w:val="0"/>
        <w:autoSpaceDN w:val="0"/>
        <w:adjustRightInd w:val="0"/>
        <w:spacing w:before="240" w:after="120"/>
        <w:ind w:left="709"/>
        <w:rPr>
          <w:rFonts w:ascii="Arial" w:eastAsia="Calibri" w:hAnsi="Arial" w:cs="Arial"/>
          <w:spacing w:val="-1"/>
          <w:sz w:val="17"/>
          <w:szCs w:val="17"/>
        </w:rPr>
      </w:pPr>
    </w:p>
    <w:p w:rsidR="00B52BA4" w:rsidRDefault="00B52BA4">
      <w:pPr>
        <w:rPr>
          <w:rFonts w:ascii="Arial" w:eastAsia="Calibri" w:hAnsi="Arial" w:cs="Arial"/>
          <w:spacing w:val="-1"/>
          <w:sz w:val="17"/>
          <w:szCs w:val="17"/>
        </w:rPr>
      </w:pPr>
      <w:r>
        <w:rPr>
          <w:rFonts w:ascii="Arial" w:eastAsia="Calibri" w:hAnsi="Arial" w:cs="Arial"/>
          <w:spacing w:val="-1"/>
          <w:sz w:val="17"/>
          <w:szCs w:val="17"/>
        </w:rPr>
        <w:br w:type="page"/>
      </w:r>
    </w:p>
    <w:p w:rsidR="00062243" w:rsidRDefault="00062243" w:rsidP="0006224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062243" w:rsidRPr="002D70DA" w:rsidRDefault="00062243" w:rsidP="0006224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62243"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62243" w:rsidRPr="002D70DA" w:rsidRDefault="00062243"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62243"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62243"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8F6D3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6D3B" w:rsidRPr="006C5E04" w:rsidRDefault="008F6D3B" w:rsidP="008F6D3B">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8F6D3B" w:rsidRPr="00780EE6" w:rsidRDefault="00F81708" w:rsidP="008F6D3B">
            <w:pPr>
              <w:jc w:val="right"/>
              <w:rPr>
                <w:rFonts w:ascii="Arial" w:hAnsi="Arial" w:cs="Arial"/>
                <w:b/>
                <w:sz w:val="17"/>
                <w:szCs w:val="17"/>
              </w:rPr>
            </w:pPr>
            <w:r w:rsidRPr="00F81708">
              <w:rPr>
                <w:rFonts w:ascii="Arial" w:hAnsi="Arial" w:cs="Arial"/>
                <w:b/>
                <w:sz w:val="17"/>
                <w:szCs w:val="17"/>
              </w:rPr>
              <w:t>50,813,933</w:t>
            </w:r>
          </w:p>
        </w:tc>
        <w:tc>
          <w:tcPr>
            <w:tcW w:w="2180" w:type="dxa"/>
            <w:tcBorders>
              <w:top w:val="single" w:sz="4" w:space="0" w:color="auto"/>
              <w:left w:val="nil"/>
              <w:bottom w:val="single" w:sz="4" w:space="0" w:color="auto"/>
              <w:right w:val="single" w:sz="4" w:space="0" w:color="auto"/>
            </w:tcBorders>
            <w:shd w:val="clear" w:color="auto" w:fill="auto"/>
          </w:tcPr>
          <w:p w:rsidR="008F6D3B" w:rsidRPr="00780EE6" w:rsidRDefault="008F6D3B" w:rsidP="008F6D3B">
            <w:pPr>
              <w:jc w:val="right"/>
              <w:rPr>
                <w:rFonts w:ascii="Arial" w:hAnsi="Arial" w:cs="Arial"/>
                <w:b/>
                <w:sz w:val="17"/>
                <w:szCs w:val="17"/>
              </w:rPr>
            </w:pPr>
            <w:r w:rsidRPr="00780EE6">
              <w:rPr>
                <w:rFonts w:ascii="Arial" w:hAnsi="Arial" w:cs="Arial"/>
                <w:b/>
                <w:sz w:val="17"/>
                <w:szCs w:val="17"/>
              </w:rPr>
              <w:t>0</w:t>
            </w:r>
          </w:p>
        </w:tc>
      </w:tr>
      <w:tr w:rsidR="008F6D3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6D3B" w:rsidRPr="006C5E04" w:rsidRDefault="008F6D3B" w:rsidP="008F6D3B">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8F6D3B" w:rsidRPr="00780EE6" w:rsidRDefault="00F81708" w:rsidP="008F6D3B">
            <w:pPr>
              <w:jc w:val="right"/>
              <w:rPr>
                <w:rFonts w:ascii="Arial" w:hAnsi="Arial" w:cs="Arial"/>
                <w:b/>
                <w:sz w:val="17"/>
                <w:szCs w:val="17"/>
              </w:rPr>
            </w:pPr>
            <w:r>
              <w:rPr>
                <w:rFonts w:ascii="Arial" w:hAnsi="Arial" w:cs="Arial"/>
                <w:b/>
                <w:sz w:val="17"/>
                <w:szCs w:val="17"/>
              </w:rPr>
              <w:t>526,815</w:t>
            </w:r>
          </w:p>
        </w:tc>
        <w:tc>
          <w:tcPr>
            <w:tcW w:w="2180" w:type="dxa"/>
            <w:tcBorders>
              <w:top w:val="single" w:sz="4" w:space="0" w:color="auto"/>
              <w:left w:val="nil"/>
              <w:bottom w:val="single" w:sz="4" w:space="0" w:color="auto"/>
              <w:right w:val="single" w:sz="4" w:space="0" w:color="auto"/>
            </w:tcBorders>
            <w:shd w:val="clear" w:color="auto" w:fill="auto"/>
          </w:tcPr>
          <w:p w:rsidR="008F6D3B" w:rsidRPr="00780EE6" w:rsidRDefault="008F6D3B" w:rsidP="008F6D3B">
            <w:pPr>
              <w:jc w:val="right"/>
              <w:rPr>
                <w:rFonts w:ascii="Arial" w:hAnsi="Arial" w:cs="Arial"/>
                <w:b/>
                <w:sz w:val="17"/>
                <w:szCs w:val="17"/>
              </w:rPr>
            </w:pPr>
            <w:r w:rsidRPr="00780EE6">
              <w:rPr>
                <w:rFonts w:ascii="Arial" w:hAnsi="Arial" w:cs="Arial"/>
                <w:b/>
                <w:sz w:val="17"/>
                <w:szCs w:val="17"/>
              </w:rPr>
              <w:t>71,629</w:t>
            </w:r>
          </w:p>
        </w:tc>
      </w:tr>
      <w:tr w:rsidR="008F6D3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6D3B" w:rsidRPr="009D4479" w:rsidRDefault="008F6D3B" w:rsidP="008F6D3B">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F6D3B" w:rsidRPr="00780EE6" w:rsidRDefault="00F81708" w:rsidP="008F6D3B">
            <w:pPr>
              <w:jc w:val="right"/>
              <w:rPr>
                <w:rFonts w:ascii="Arial" w:hAnsi="Arial" w:cs="Arial"/>
                <w:sz w:val="17"/>
                <w:szCs w:val="17"/>
              </w:rPr>
            </w:pPr>
            <w:r w:rsidRPr="00F81708">
              <w:rPr>
                <w:rFonts w:ascii="Arial" w:hAnsi="Arial" w:cs="Arial"/>
                <w:sz w:val="17"/>
                <w:szCs w:val="17"/>
              </w:rPr>
              <w:t>106,280</w:t>
            </w:r>
          </w:p>
        </w:tc>
        <w:tc>
          <w:tcPr>
            <w:tcW w:w="2180" w:type="dxa"/>
            <w:tcBorders>
              <w:top w:val="single" w:sz="4" w:space="0" w:color="auto"/>
              <w:left w:val="nil"/>
              <w:bottom w:val="single" w:sz="4" w:space="0" w:color="auto"/>
              <w:right w:val="single" w:sz="4" w:space="0" w:color="auto"/>
            </w:tcBorders>
            <w:shd w:val="clear" w:color="auto" w:fill="auto"/>
          </w:tcPr>
          <w:p w:rsidR="008F6D3B" w:rsidRPr="00780EE6" w:rsidRDefault="008F6D3B" w:rsidP="008F6D3B">
            <w:pPr>
              <w:jc w:val="right"/>
              <w:rPr>
                <w:rFonts w:ascii="Arial" w:hAnsi="Arial" w:cs="Arial"/>
                <w:sz w:val="17"/>
                <w:szCs w:val="17"/>
              </w:rPr>
            </w:pPr>
            <w:r w:rsidRPr="00780EE6">
              <w:rPr>
                <w:rFonts w:ascii="Arial" w:hAnsi="Arial" w:cs="Arial"/>
                <w:sz w:val="17"/>
                <w:szCs w:val="17"/>
              </w:rPr>
              <w:t>14,644</w:t>
            </w:r>
          </w:p>
        </w:tc>
      </w:tr>
      <w:tr w:rsidR="008F6D3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6D3B" w:rsidRPr="009D4479" w:rsidRDefault="008F6D3B" w:rsidP="008F6D3B">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6D3B" w:rsidRPr="00780EE6" w:rsidRDefault="00F81708" w:rsidP="008F6D3B">
            <w:pPr>
              <w:jc w:val="right"/>
              <w:rPr>
                <w:rFonts w:ascii="Arial" w:hAnsi="Arial" w:cs="Arial"/>
                <w:sz w:val="17"/>
                <w:szCs w:val="17"/>
              </w:rPr>
            </w:pPr>
            <w:r w:rsidRPr="00F81708">
              <w:rPr>
                <w:rFonts w:ascii="Arial" w:hAnsi="Arial" w:cs="Arial"/>
                <w:sz w:val="17"/>
                <w:szCs w:val="17"/>
              </w:rPr>
              <w:t>342,213</w:t>
            </w:r>
          </w:p>
        </w:tc>
        <w:tc>
          <w:tcPr>
            <w:tcW w:w="2180" w:type="dxa"/>
            <w:tcBorders>
              <w:top w:val="single" w:sz="4" w:space="0" w:color="auto"/>
              <w:left w:val="nil"/>
              <w:bottom w:val="single" w:sz="4" w:space="0" w:color="auto"/>
              <w:right w:val="single" w:sz="4" w:space="0" w:color="auto"/>
            </w:tcBorders>
            <w:shd w:val="clear" w:color="auto" w:fill="auto"/>
          </w:tcPr>
          <w:p w:rsidR="008F6D3B" w:rsidRPr="00780EE6" w:rsidRDefault="008F6D3B" w:rsidP="008F6D3B">
            <w:pPr>
              <w:jc w:val="right"/>
              <w:rPr>
                <w:rFonts w:ascii="Arial" w:hAnsi="Arial" w:cs="Arial"/>
                <w:sz w:val="17"/>
                <w:szCs w:val="17"/>
              </w:rPr>
            </w:pPr>
            <w:r w:rsidRPr="00780EE6">
              <w:rPr>
                <w:rFonts w:ascii="Arial" w:hAnsi="Arial" w:cs="Arial"/>
                <w:sz w:val="17"/>
                <w:szCs w:val="17"/>
              </w:rPr>
              <w:t>56,985</w:t>
            </w:r>
          </w:p>
        </w:tc>
      </w:tr>
      <w:tr w:rsidR="00F81708"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1708" w:rsidRPr="009D4479" w:rsidRDefault="00F81708" w:rsidP="009915A4">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81708" w:rsidRPr="00F2042B" w:rsidRDefault="00F81708" w:rsidP="009915A4">
            <w:pPr>
              <w:jc w:val="right"/>
              <w:rPr>
                <w:rFonts w:ascii="Arial" w:hAnsi="Arial" w:cs="Arial"/>
                <w:sz w:val="17"/>
                <w:szCs w:val="17"/>
              </w:rPr>
            </w:pPr>
            <w:r w:rsidRPr="00F81708">
              <w:rPr>
                <w:rFonts w:ascii="Arial" w:hAnsi="Arial" w:cs="Arial"/>
                <w:sz w:val="17"/>
                <w:szCs w:val="17"/>
              </w:rPr>
              <w:t>78,322</w:t>
            </w:r>
          </w:p>
        </w:tc>
        <w:tc>
          <w:tcPr>
            <w:tcW w:w="2180" w:type="dxa"/>
            <w:tcBorders>
              <w:top w:val="single" w:sz="4" w:space="0" w:color="auto"/>
              <w:left w:val="nil"/>
              <w:bottom w:val="single" w:sz="4" w:space="0" w:color="auto"/>
              <w:right w:val="single" w:sz="4" w:space="0" w:color="auto"/>
            </w:tcBorders>
            <w:shd w:val="clear" w:color="auto" w:fill="auto"/>
          </w:tcPr>
          <w:p w:rsidR="00F81708" w:rsidRPr="00B95EFE" w:rsidRDefault="00F81708" w:rsidP="009915A4">
            <w:pPr>
              <w:jc w:val="right"/>
              <w:rPr>
                <w:rFonts w:ascii="Arial" w:hAnsi="Arial" w:cs="Arial"/>
                <w:sz w:val="17"/>
                <w:szCs w:val="17"/>
              </w:rPr>
            </w:pPr>
            <w:r>
              <w:rPr>
                <w:rFonts w:ascii="Arial" w:hAnsi="Arial" w:cs="Arial"/>
                <w:sz w:val="17"/>
                <w:szCs w:val="17"/>
              </w:rPr>
              <w:t>0</w:t>
            </w:r>
          </w:p>
        </w:tc>
      </w:tr>
      <w:tr w:rsidR="008F6D3B"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8F6D3B" w:rsidRPr="002D70DA" w:rsidRDefault="008F6D3B" w:rsidP="008F6D3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8F6D3B" w:rsidRPr="005B5FB9" w:rsidRDefault="008F6D3B" w:rsidP="008F6D3B">
            <w:pPr>
              <w:jc w:val="right"/>
              <w:rPr>
                <w:rFonts w:ascii="Arial" w:hAnsi="Arial" w:cs="Arial"/>
                <w:b/>
                <w:bCs/>
                <w:color w:val="000000"/>
                <w:sz w:val="17"/>
                <w:szCs w:val="17"/>
                <w14:numForm w14:val="lining"/>
              </w:rPr>
            </w:pPr>
            <w:r w:rsidRPr="00B52BA4">
              <w:rPr>
                <w:rFonts w:ascii="Arial" w:hAnsi="Arial" w:cs="Arial"/>
                <w:b/>
                <w:bCs/>
                <w:color w:val="000000"/>
                <w:sz w:val="17"/>
                <w:szCs w:val="17"/>
                <w14:numForm w14:val="lining"/>
              </w:rPr>
              <w:t>71,629</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F6D3B" w:rsidRPr="005B5FB9" w:rsidRDefault="008F6D3B" w:rsidP="008F6D3B">
            <w:pPr>
              <w:jc w:val="right"/>
              <w:rPr>
                <w:rFonts w:ascii="Arial" w:hAnsi="Arial" w:cs="Arial"/>
                <w:b/>
                <w:bCs/>
                <w:color w:val="000000"/>
                <w:sz w:val="17"/>
                <w:szCs w:val="17"/>
                <w14:numForm w14:val="lining"/>
              </w:rPr>
            </w:pPr>
            <w:r w:rsidRPr="00B52BA4">
              <w:rPr>
                <w:rFonts w:ascii="Arial" w:hAnsi="Arial" w:cs="Arial"/>
                <w:b/>
                <w:bCs/>
                <w:color w:val="000000"/>
                <w:sz w:val="17"/>
                <w:szCs w:val="17"/>
                <w14:numForm w14:val="lining"/>
              </w:rPr>
              <w:t>71,629</w:t>
            </w:r>
          </w:p>
        </w:tc>
      </w:tr>
    </w:tbl>
    <w:p w:rsidR="008F6D3B" w:rsidRDefault="008F6D3B" w:rsidP="008F6D3B">
      <w:pPr>
        <w:spacing w:before="80" w:line="250" w:lineRule="exact"/>
        <w:ind w:firstLine="709"/>
        <w:jc w:val="both"/>
        <w:rPr>
          <w:rFonts w:ascii="Arial" w:eastAsia="Calibri" w:hAnsi="Arial" w:cs="Arial"/>
          <w:spacing w:val="-1"/>
          <w:sz w:val="17"/>
          <w:szCs w:val="17"/>
        </w:rPr>
      </w:pPr>
    </w:p>
    <w:p w:rsidR="008F6D3B" w:rsidRPr="00B06897" w:rsidRDefault="00876389" w:rsidP="008F6D3B">
      <w:pPr>
        <w:spacing w:before="80" w:line="250" w:lineRule="exact"/>
        <w:ind w:firstLine="709"/>
        <w:jc w:val="both"/>
        <w:rPr>
          <w:rFonts w:ascii="Arial" w:eastAsia="Calibri" w:hAnsi="Arial" w:cs="Arial"/>
          <w:spacing w:val="-1"/>
          <w:sz w:val="17"/>
          <w:szCs w:val="17"/>
        </w:rPr>
      </w:pPr>
      <w:r>
        <w:rPr>
          <w:rFonts w:ascii="Arial" w:eastAsia="Calibri" w:hAnsi="Arial" w:cs="Arial"/>
          <w:spacing w:val="-1"/>
          <w:sz w:val="17"/>
          <w:szCs w:val="17"/>
        </w:rPr>
        <w:t xml:space="preserve">Destaca </w:t>
      </w:r>
      <w:r w:rsidR="008F6D3B">
        <w:rPr>
          <w:rFonts w:ascii="Arial" w:eastAsia="Calibri" w:hAnsi="Arial" w:cs="Arial"/>
          <w:spacing w:val="-1"/>
          <w:sz w:val="17"/>
          <w:szCs w:val="17"/>
        </w:rPr>
        <w:t>e</w:t>
      </w:r>
      <w:r w:rsidR="008F6D3B" w:rsidRPr="00B06897">
        <w:rPr>
          <w:rFonts w:ascii="Arial" w:eastAsia="Calibri" w:hAnsi="Arial" w:cs="Arial"/>
          <w:spacing w:val="-1"/>
          <w:sz w:val="17"/>
          <w:szCs w:val="17"/>
        </w:rPr>
        <w:t xml:space="preserve">l incremento presentado </w:t>
      </w:r>
      <w:r w:rsidR="008F6D3B">
        <w:rPr>
          <w:rFonts w:ascii="Arial" w:eastAsia="Calibri" w:hAnsi="Arial" w:cs="Arial"/>
          <w:spacing w:val="-1"/>
          <w:sz w:val="17"/>
          <w:szCs w:val="17"/>
        </w:rPr>
        <w:t>en</w:t>
      </w:r>
      <w:r w:rsidR="008F6D3B" w:rsidRPr="00B06897">
        <w:rPr>
          <w:rFonts w:ascii="Arial" w:eastAsia="Calibri" w:hAnsi="Arial" w:cs="Arial"/>
          <w:spacing w:val="-1"/>
          <w:sz w:val="17"/>
          <w:szCs w:val="17"/>
        </w:rPr>
        <w:t xml:space="preserve"> la creación de cuentas por cobrar a contratistas por obra pública.</w:t>
      </w:r>
    </w:p>
    <w:p w:rsidR="00876389" w:rsidRDefault="00876389" w:rsidP="006335BE">
      <w:pPr>
        <w:spacing w:before="80" w:line="250" w:lineRule="exact"/>
        <w:ind w:left="709"/>
        <w:jc w:val="both"/>
        <w:rPr>
          <w:rFonts w:ascii="Arial" w:eastAsia="Calibri" w:hAnsi="Arial" w:cs="Arial"/>
          <w:spacing w:val="-1"/>
          <w:sz w:val="17"/>
          <w:szCs w:val="17"/>
        </w:rPr>
      </w:pPr>
    </w:p>
    <w:p w:rsidR="006335BE" w:rsidRPr="002D70DA" w:rsidRDefault="00CE4092"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547241" w:rsidRDefault="00CE4092" w:rsidP="00214B4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w:t>
      </w:r>
      <w:r w:rsidR="00093302">
        <w:rPr>
          <w:rFonts w:ascii="Arial" w:eastAsia="Calibri" w:hAnsi="Arial" w:cs="Arial"/>
          <w:spacing w:val="-1"/>
          <w:sz w:val="17"/>
          <w:szCs w:val="17"/>
        </w:rPr>
        <w:t xml:space="preserve">a, se informa </w:t>
      </w:r>
      <w:r w:rsidR="00282158">
        <w:rPr>
          <w:rFonts w:ascii="Arial" w:eastAsia="Calibri" w:hAnsi="Arial" w:cs="Arial"/>
          <w:spacing w:val="-1"/>
          <w:sz w:val="17"/>
          <w:szCs w:val="17"/>
        </w:rPr>
        <w:t xml:space="preserve">el saldo de la cuenta de inventarios al 31 de diciembre del </w:t>
      </w:r>
      <w:r w:rsidR="00582811">
        <w:rPr>
          <w:rFonts w:ascii="Arial" w:eastAsia="Calibri" w:hAnsi="Arial" w:cs="Arial"/>
          <w:spacing w:val="-1"/>
          <w:sz w:val="17"/>
          <w:szCs w:val="17"/>
        </w:rPr>
        <w:t>2017</w:t>
      </w:r>
      <w:r w:rsidR="00282158">
        <w:rPr>
          <w:rFonts w:ascii="Arial" w:eastAsia="Calibri" w:hAnsi="Arial" w:cs="Arial"/>
          <w:spacing w:val="-1"/>
          <w:sz w:val="17"/>
          <w:szCs w:val="17"/>
        </w:rPr>
        <w:t>.</w:t>
      </w:r>
    </w:p>
    <w:p w:rsidR="00F86013" w:rsidRPr="00ED5AC6" w:rsidRDefault="00F86013" w:rsidP="00F86013">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86013" w:rsidRPr="002D70DA" w:rsidTr="0001361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6013" w:rsidRPr="002D70DA" w:rsidRDefault="00F86013" w:rsidP="001A0060">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6013" w:rsidRPr="002D70DA" w:rsidRDefault="00582811" w:rsidP="001A0060">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6013" w:rsidRPr="002D70DA" w:rsidRDefault="00582811" w:rsidP="001A0060">
            <w:pPr>
              <w:jc w:val="center"/>
              <w:rPr>
                <w:rFonts w:ascii="Arial" w:hAnsi="Arial" w:cs="Arial"/>
                <w:b/>
                <w:bCs/>
                <w:color w:val="000000"/>
                <w:sz w:val="17"/>
                <w:szCs w:val="17"/>
              </w:rPr>
            </w:pPr>
            <w:r>
              <w:rPr>
                <w:rFonts w:ascii="Arial" w:hAnsi="Arial" w:cs="Arial"/>
                <w:b/>
                <w:bCs/>
                <w:color w:val="000000"/>
                <w:sz w:val="17"/>
                <w:szCs w:val="17"/>
              </w:rPr>
              <w:t>2016</w:t>
            </w:r>
          </w:p>
        </w:tc>
      </w:tr>
      <w:tr w:rsidR="00F86013"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6013" w:rsidRPr="00560276" w:rsidRDefault="00547241" w:rsidP="001A0060">
            <w:pPr>
              <w:rPr>
                <w:rFonts w:ascii="Arial" w:hAnsi="Arial" w:cs="Arial"/>
                <w:sz w:val="17"/>
                <w:szCs w:val="17"/>
              </w:rPr>
            </w:pPr>
            <w:r w:rsidRPr="00547241">
              <w:rPr>
                <w:rFonts w:ascii="Arial" w:hAnsi="Arial" w:cs="Arial"/>
                <w:sz w:val="17"/>
                <w:szCs w:val="17"/>
              </w:rPr>
              <w:t>Inventario de Materias Primas, Materiales y Suministros para Producción</w:t>
            </w:r>
          </w:p>
        </w:tc>
        <w:tc>
          <w:tcPr>
            <w:tcW w:w="2180" w:type="dxa"/>
            <w:tcBorders>
              <w:top w:val="single" w:sz="4" w:space="0" w:color="auto"/>
              <w:left w:val="nil"/>
              <w:bottom w:val="single" w:sz="4" w:space="0" w:color="auto"/>
              <w:right w:val="single" w:sz="4" w:space="0" w:color="auto"/>
            </w:tcBorders>
            <w:shd w:val="clear" w:color="auto" w:fill="auto"/>
          </w:tcPr>
          <w:p w:rsidR="00F86013" w:rsidRPr="00560276" w:rsidRDefault="00CF2D07" w:rsidP="001A0060">
            <w:pPr>
              <w:jc w:val="right"/>
              <w:rPr>
                <w:rFonts w:ascii="Arial" w:hAnsi="Arial" w:cs="Arial"/>
                <w:sz w:val="17"/>
                <w:szCs w:val="17"/>
              </w:rPr>
            </w:pPr>
            <w:r w:rsidRPr="00CF2D07">
              <w:rPr>
                <w:rFonts w:ascii="Arial" w:hAnsi="Arial" w:cs="Arial"/>
                <w:sz w:val="17"/>
                <w:szCs w:val="17"/>
              </w:rPr>
              <w:t>443,939</w:t>
            </w:r>
          </w:p>
        </w:tc>
        <w:tc>
          <w:tcPr>
            <w:tcW w:w="2180" w:type="dxa"/>
            <w:tcBorders>
              <w:top w:val="single" w:sz="4" w:space="0" w:color="auto"/>
              <w:left w:val="nil"/>
              <w:bottom w:val="single" w:sz="4" w:space="0" w:color="auto"/>
              <w:right w:val="single" w:sz="4" w:space="0" w:color="auto"/>
            </w:tcBorders>
            <w:shd w:val="clear" w:color="auto" w:fill="auto"/>
          </w:tcPr>
          <w:p w:rsidR="00F86013" w:rsidRPr="00560276" w:rsidRDefault="00CF2D07" w:rsidP="001A0060">
            <w:pPr>
              <w:jc w:val="right"/>
              <w:rPr>
                <w:rFonts w:ascii="Arial" w:hAnsi="Arial" w:cs="Arial"/>
                <w:sz w:val="17"/>
                <w:szCs w:val="17"/>
              </w:rPr>
            </w:pPr>
            <w:r>
              <w:rPr>
                <w:rFonts w:ascii="Arial" w:hAnsi="Arial" w:cs="Arial"/>
                <w:sz w:val="17"/>
                <w:szCs w:val="17"/>
              </w:rPr>
              <w:t>684,567</w:t>
            </w:r>
          </w:p>
        </w:tc>
      </w:tr>
    </w:tbl>
    <w:p w:rsidR="00B13600" w:rsidRDefault="00876389"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La cantidad que se informa al cierre de </w:t>
      </w:r>
      <w:r w:rsidR="00582811">
        <w:rPr>
          <w:rFonts w:ascii="Arial" w:eastAsia="Calibri" w:hAnsi="Arial" w:cs="Arial"/>
          <w:spacing w:val="-1"/>
          <w:sz w:val="17"/>
          <w:szCs w:val="17"/>
        </w:rPr>
        <w:t>2017</w:t>
      </w:r>
      <w:r>
        <w:rPr>
          <w:rFonts w:ascii="Arial" w:eastAsia="Calibri" w:hAnsi="Arial" w:cs="Arial"/>
          <w:spacing w:val="-1"/>
          <w:sz w:val="17"/>
          <w:szCs w:val="17"/>
        </w:rPr>
        <w:t xml:space="preserve"> de </w:t>
      </w:r>
      <w:r w:rsidR="00CF2D07" w:rsidRPr="00CF2D07">
        <w:rPr>
          <w:rFonts w:ascii="Arial" w:eastAsia="Calibri" w:hAnsi="Arial" w:cs="Arial"/>
          <w:spacing w:val="-1"/>
          <w:sz w:val="17"/>
          <w:szCs w:val="17"/>
        </w:rPr>
        <w:t>443,939</w:t>
      </w:r>
      <w:r>
        <w:rPr>
          <w:rFonts w:ascii="Arial" w:eastAsia="Calibri" w:hAnsi="Arial" w:cs="Arial"/>
          <w:spacing w:val="-1"/>
          <w:sz w:val="17"/>
          <w:szCs w:val="17"/>
        </w:rPr>
        <w:t xml:space="preserve"> corresponde en su totalidad al Poder Ejecutivo.</w:t>
      </w:r>
    </w:p>
    <w:p w:rsidR="00CF2D07" w:rsidRDefault="00CF2D07" w:rsidP="006335BE">
      <w:pPr>
        <w:spacing w:before="80" w:line="250" w:lineRule="exact"/>
        <w:ind w:left="709"/>
        <w:jc w:val="both"/>
        <w:rPr>
          <w:rFonts w:ascii="Arial" w:eastAsia="Calibri" w:hAnsi="Arial" w:cs="Arial"/>
          <w:spacing w:val="-1"/>
          <w:sz w:val="17"/>
          <w:szCs w:val="17"/>
        </w:rPr>
      </w:pPr>
    </w:p>
    <w:p w:rsidR="00CF2D07" w:rsidRPr="00ED5AC6" w:rsidRDefault="00CF2D07" w:rsidP="00CF2D07">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CF2D07"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F2D07" w:rsidRPr="002D70DA" w:rsidRDefault="00CF2D07" w:rsidP="009915A4">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F2D07" w:rsidRPr="002D70DA" w:rsidRDefault="00CF2D07" w:rsidP="009915A4">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F2D07" w:rsidRPr="002D70DA" w:rsidRDefault="00CF2D07" w:rsidP="009915A4">
            <w:pPr>
              <w:jc w:val="center"/>
              <w:rPr>
                <w:rFonts w:ascii="Arial" w:hAnsi="Arial" w:cs="Arial"/>
                <w:b/>
                <w:bCs/>
                <w:color w:val="000000"/>
                <w:sz w:val="17"/>
                <w:szCs w:val="17"/>
              </w:rPr>
            </w:pPr>
            <w:r>
              <w:rPr>
                <w:rFonts w:ascii="Arial" w:hAnsi="Arial" w:cs="Arial"/>
                <w:b/>
                <w:bCs/>
                <w:color w:val="000000"/>
                <w:sz w:val="17"/>
                <w:szCs w:val="17"/>
              </w:rPr>
              <w:t>2016</w:t>
            </w:r>
          </w:p>
        </w:tc>
      </w:tr>
      <w:tr w:rsidR="00CF2D07"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2D07" w:rsidRPr="00560276" w:rsidRDefault="00CF2D07" w:rsidP="009915A4">
            <w:pPr>
              <w:rPr>
                <w:rFonts w:ascii="Arial" w:hAnsi="Arial" w:cs="Arial"/>
                <w:sz w:val="17"/>
                <w:szCs w:val="17"/>
              </w:rPr>
            </w:pPr>
            <w:r w:rsidRPr="003F4545">
              <w:rPr>
                <w:rFonts w:ascii="Arial" w:hAnsi="Arial" w:cs="Arial"/>
                <w:sz w:val="17"/>
                <w:szCs w:val="17"/>
              </w:rPr>
              <w:t>Almacén de Materiales y Suministros de Consumo</w:t>
            </w:r>
          </w:p>
        </w:tc>
        <w:tc>
          <w:tcPr>
            <w:tcW w:w="2180" w:type="dxa"/>
            <w:tcBorders>
              <w:top w:val="single" w:sz="4" w:space="0" w:color="auto"/>
              <w:left w:val="nil"/>
              <w:bottom w:val="single" w:sz="4" w:space="0" w:color="auto"/>
              <w:right w:val="single" w:sz="4" w:space="0" w:color="auto"/>
            </w:tcBorders>
            <w:shd w:val="clear" w:color="auto" w:fill="auto"/>
          </w:tcPr>
          <w:p w:rsidR="00CF2D07" w:rsidRPr="00914497" w:rsidRDefault="00CF2D07" w:rsidP="009915A4">
            <w:pPr>
              <w:jc w:val="right"/>
              <w:rPr>
                <w:rFonts w:ascii="Arial" w:hAnsi="Arial" w:cs="Arial"/>
                <w:sz w:val="17"/>
                <w:szCs w:val="17"/>
              </w:rPr>
            </w:pPr>
            <w:r w:rsidRPr="00914497">
              <w:rPr>
                <w:rFonts w:ascii="Arial" w:hAnsi="Arial" w:cs="Arial"/>
                <w:sz w:val="17"/>
                <w:szCs w:val="17"/>
              </w:rPr>
              <w:t xml:space="preserve">4,132,155 </w:t>
            </w:r>
          </w:p>
        </w:tc>
        <w:tc>
          <w:tcPr>
            <w:tcW w:w="2180" w:type="dxa"/>
            <w:tcBorders>
              <w:top w:val="single" w:sz="4" w:space="0" w:color="auto"/>
              <w:left w:val="nil"/>
              <w:bottom w:val="single" w:sz="4" w:space="0" w:color="auto"/>
              <w:right w:val="single" w:sz="4" w:space="0" w:color="auto"/>
            </w:tcBorders>
            <w:shd w:val="clear" w:color="auto" w:fill="auto"/>
          </w:tcPr>
          <w:p w:rsidR="00CF2D07" w:rsidRPr="00914497" w:rsidRDefault="00CF2D07" w:rsidP="009915A4">
            <w:pPr>
              <w:jc w:val="right"/>
              <w:rPr>
                <w:rFonts w:ascii="Arial" w:hAnsi="Arial" w:cs="Arial"/>
                <w:sz w:val="17"/>
                <w:szCs w:val="17"/>
              </w:rPr>
            </w:pPr>
            <w:r w:rsidRPr="00914497">
              <w:rPr>
                <w:rFonts w:ascii="Arial" w:hAnsi="Arial" w:cs="Arial"/>
                <w:sz w:val="17"/>
                <w:szCs w:val="17"/>
              </w:rPr>
              <w:t xml:space="preserve">5,915,055 </w:t>
            </w:r>
          </w:p>
        </w:tc>
      </w:tr>
    </w:tbl>
    <w:p w:rsidR="00CF2D07" w:rsidRDefault="00CF2D07" w:rsidP="00CF2D07">
      <w:pPr>
        <w:spacing w:before="80" w:line="250" w:lineRule="exact"/>
        <w:ind w:left="709"/>
        <w:jc w:val="both"/>
        <w:rPr>
          <w:rFonts w:ascii="Arial" w:eastAsia="Calibri" w:hAnsi="Arial" w:cs="Arial"/>
          <w:spacing w:val="-1"/>
          <w:sz w:val="17"/>
          <w:szCs w:val="17"/>
        </w:rPr>
      </w:pPr>
    </w:p>
    <w:p w:rsidR="00CF2D07" w:rsidRDefault="00CF2D07" w:rsidP="00CF2D0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La cantidad que se informa corresponde en su totalidad al Poder Ejecutivo.</w:t>
      </w:r>
      <w:r w:rsidRPr="008810EF">
        <w:rPr>
          <w:rFonts w:ascii="Arial" w:eastAsia="Calibri" w:hAnsi="Arial" w:cs="Arial"/>
          <w:spacing w:val="-1"/>
          <w:sz w:val="17"/>
          <w:szCs w:val="17"/>
        </w:rPr>
        <w:t xml:space="preserve"> </w:t>
      </w:r>
      <w:r>
        <w:rPr>
          <w:rFonts w:ascii="Arial" w:eastAsia="Calibri" w:hAnsi="Arial" w:cs="Arial"/>
          <w:spacing w:val="-1"/>
          <w:sz w:val="17"/>
          <w:szCs w:val="17"/>
        </w:rPr>
        <w:t>Asimismo l</w:t>
      </w:r>
      <w:r w:rsidRPr="008810EF">
        <w:rPr>
          <w:rFonts w:ascii="Arial" w:eastAsia="Calibri" w:hAnsi="Arial" w:cs="Arial"/>
          <w:spacing w:val="-1"/>
          <w:sz w:val="17"/>
          <w:szCs w:val="17"/>
        </w:rPr>
        <w:t>a disminución se registra esencialmente en los almacenes de imprenta por un importe de 240,628 y el de conservación de inmuebles por un importe de 1,034,581</w:t>
      </w:r>
    </w:p>
    <w:p w:rsidR="00CF2D07" w:rsidRDefault="00CF2D07" w:rsidP="00CF2D07">
      <w:pPr>
        <w:spacing w:before="80" w:line="250" w:lineRule="exact"/>
        <w:ind w:left="709"/>
        <w:jc w:val="both"/>
        <w:rPr>
          <w:rFonts w:ascii="Arial" w:eastAsia="Calibri" w:hAnsi="Arial" w:cs="Arial"/>
          <w:spacing w:val="-1"/>
          <w:sz w:val="17"/>
          <w:szCs w:val="17"/>
        </w:rPr>
      </w:pPr>
    </w:p>
    <w:p w:rsidR="00CF2D07" w:rsidRDefault="00CF2D07" w:rsidP="006335BE">
      <w:pPr>
        <w:spacing w:before="80" w:line="250" w:lineRule="exact"/>
        <w:ind w:left="709"/>
        <w:jc w:val="both"/>
        <w:rPr>
          <w:rFonts w:ascii="Arial" w:eastAsia="Calibri" w:hAnsi="Arial" w:cs="Arial"/>
          <w:spacing w:val="-1"/>
          <w:sz w:val="17"/>
          <w:szCs w:val="17"/>
        </w:rPr>
      </w:pPr>
    </w:p>
    <w:p w:rsidR="00CF2D07" w:rsidRDefault="00CF2D07" w:rsidP="006335BE">
      <w:pPr>
        <w:spacing w:before="80" w:line="250" w:lineRule="exact"/>
        <w:ind w:left="709"/>
        <w:jc w:val="both"/>
        <w:rPr>
          <w:rFonts w:ascii="Arial" w:eastAsia="Calibri" w:hAnsi="Arial" w:cs="Arial"/>
          <w:spacing w:val="-1"/>
          <w:sz w:val="17"/>
          <w:szCs w:val="17"/>
        </w:rPr>
      </w:pPr>
    </w:p>
    <w:p w:rsidR="00876389" w:rsidRDefault="00876389" w:rsidP="006335BE">
      <w:pPr>
        <w:spacing w:before="80" w:line="250" w:lineRule="exact"/>
        <w:ind w:left="709"/>
        <w:jc w:val="both"/>
        <w:rPr>
          <w:rFonts w:ascii="Arial" w:eastAsia="Calibri" w:hAnsi="Arial" w:cs="Arial"/>
          <w:spacing w:val="-1"/>
          <w:sz w:val="17"/>
          <w:szCs w:val="17"/>
        </w:rPr>
      </w:pPr>
    </w:p>
    <w:p w:rsidR="003F2A85" w:rsidRPr="002D70DA" w:rsidRDefault="003F2A85"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Pr>
          <w:rFonts w:ascii="Arial" w:eastAsia="Calibri" w:hAnsi="Arial" w:cs="Arial"/>
          <w:b/>
          <w:spacing w:val="-1"/>
          <w:sz w:val="17"/>
          <w:szCs w:val="17"/>
        </w:rPr>
        <w:t>Otros activos circulantes</w:t>
      </w:r>
    </w:p>
    <w:p w:rsidR="003F2A85" w:rsidRPr="00785016" w:rsidRDefault="003F2A85" w:rsidP="003F2A85">
      <w:pPr>
        <w:spacing w:before="80" w:line="250" w:lineRule="exact"/>
        <w:ind w:left="709"/>
        <w:jc w:val="both"/>
        <w:rPr>
          <w:rFonts w:ascii="Arial" w:eastAsia="Calibri" w:hAnsi="Arial" w:cs="Arial"/>
          <w:spacing w:val="-1"/>
          <w:sz w:val="17"/>
          <w:szCs w:val="17"/>
        </w:rPr>
      </w:pPr>
      <w:r w:rsidRPr="00785016">
        <w:rPr>
          <w:rFonts w:ascii="Arial" w:eastAsia="Calibri" w:hAnsi="Arial" w:cs="Arial"/>
          <w:spacing w:val="-1"/>
          <w:sz w:val="17"/>
          <w:szCs w:val="17"/>
        </w:rPr>
        <w:t>En este apartado se informa la integración de</w:t>
      </w:r>
      <w:r w:rsidR="00E14F1F">
        <w:rPr>
          <w:rFonts w:ascii="Arial" w:eastAsia="Calibri" w:hAnsi="Arial" w:cs="Arial"/>
          <w:spacing w:val="-1"/>
          <w:sz w:val="17"/>
          <w:szCs w:val="17"/>
        </w:rPr>
        <w:t xml:space="preserve">l rubro de otros activos circulantes al 31 de diciembre del </w:t>
      </w:r>
      <w:r w:rsidR="00582811">
        <w:rPr>
          <w:rFonts w:ascii="Arial" w:eastAsia="Calibri" w:hAnsi="Arial" w:cs="Arial"/>
          <w:spacing w:val="-1"/>
          <w:sz w:val="17"/>
          <w:szCs w:val="17"/>
        </w:rPr>
        <w:t>2017</w:t>
      </w:r>
      <w:r w:rsidRPr="00785016">
        <w:rPr>
          <w:rFonts w:ascii="Arial" w:eastAsia="Calibri" w:hAnsi="Arial" w:cs="Arial"/>
          <w:spacing w:val="-1"/>
          <w:sz w:val="17"/>
          <w:szCs w:val="17"/>
        </w:rPr>
        <w:t>:</w:t>
      </w:r>
    </w:p>
    <w:p w:rsidR="003F2A85" w:rsidRPr="00785016" w:rsidRDefault="003F2A85" w:rsidP="003F2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2A85"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2A85" w:rsidRPr="002D70DA" w:rsidRDefault="003F2A85" w:rsidP="003F2A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2A85" w:rsidRPr="002D70DA" w:rsidRDefault="00582811" w:rsidP="003F2A8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2A85" w:rsidRPr="002D70DA" w:rsidRDefault="00582811" w:rsidP="003F2A85">
            <w:pPr>
              <w:jc w:val="center"/>
              <w:rPr>
                <w:rFonts w:ascii="Arial" w:hAnsi="Arial" w:cs="Arial"/>
                <w:b/>
                <w:bCs/>
                <w:color w:val="000000"/>
                <w:sz w:val="17"/>
                <w:szCs w:val="17"/>
              </w:rPr>
            </w:pPr>
            <w:r>
              <w:rPr>
                <w:rFonts w:ascii="Arial" w:hAnsi="Arial" w:cs="Arial"/>
                <w:b/>
                <w:bCs/>
                <w:color w:val="000000"/>
                <w:sz w:val="17"/>
                <w:szCs w:val="17"/>
              </w:rPr>
              <w:t>2016</w:t>
            </w:r>
          </w:p>
        </w:tc>
      </w:tr>
      <w:tr w:rsidR="00CF2D07"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2D07" w:rsidRPr="00785016" w:rsidRDefault="00CF2D07" w:rsidP="00CF2D07">
            <w:pPr>
              <w:rPr>
                <w:rFonts w:ascii="Arial" w:hAnsi="Arial" w:cs="Arial"/>
                <w:sz w:val="17"/>
                <w:szCs w:val="17"/>
              </w:rPr>
            </w:pPr>
            <w:r w:rsidRPr="00C22317">
              <w:rPr>
                <w:rFonts w:ascii="Arial" w:hAnsi="Arial" w:cs="Arial"/>
                <w:sz w:val="17"/>
                <w:szCs w:val="17"/>
              </w:rPr>
              <w:t>Valores en Garantía</w:t>
            </w:r>
          </w:p>
        </w:tc>
        <w:tc>
          <w:tcPr>
            <w:tcW w:w="2180" w:type="dxa"/>
            <w:tcBorders>
              <w:top w:val="single" w:sz="4" w:space="0" w:color="auto"/>
              <w:left w:val="nil"/>
              <w:bottom w:val="single" w:sz="4" w:space="0" w:color="auto"/>
              <w:right w:val="single" w:sz="4" w:space="0" w:color="auto"/>
            </w:tcBorders>
            <w:shd w:val="clear" w:color="auto" w:fill="auto"/>
          </w:tcPr>
          <w:p w:rsidR="00CF2D07" w:rsidRPr="00C22317" w:rsidRDefault="00CF2D07" w:rsidP="00CF2D07">
            <w:pPr>
              <w:jc w:val="right"/>
              <w:rPr>
                <w:rFonts w:ascii="Arial" w:hAnsi="Arial" w:cs="Arial"/>
                <w:sz w:val="17"/>
                <w:szCs w:val="17"/>
              </w:rPr>
            </w:pPr>
            <w:r w:rsidRPr="00C22317">
              <w:rPr>
                <w:rFonts w:ascii="Arial" w:hAnsi="Arial" w:cs="Arial"/>
                <w:sz w:val="17"/>
                <w:szCs w:val="17"/>
              </w:rPr>
              <w:t>61,223</w:t>
            </w:r>
          </w:p>
        </w:tc>
        <w:tc>
          <w:tcPr>
            <w:tcW w:w="2180" w:type="dxa"/>
            <w:tcBorders>
              <w:top w:val="single" w:sz="4" w:space="0" w:color="auto"/>
              <w:left w:val="nil"/>
              <w:bottom w:val="single" w:sz="4" w:space="0" w:color="auto"/>
              <w:right w:val="single" w:sz="4" w:space="0" w:color="auto"/>
            </w:tcBorders>
            <w:shd w:val="clear" w:color="auto" w:fill="auto"/>
          </w:tcPr>
          <w:p w:rsidR="00CF2D07" w:rsidRPr="00C22317" w:rsidRDefault="00CF2D07" w:rsidP="00CF2D07">
            <w:pPr>
              <w:jc w:val="right"/>
              <w:rPr>
                <w:rFonts w:ascii="Arial" w:hAnsi="Arial" w:cs="Arial"/>
                <w:sz w:val="17"/>
                <w:szCs w:val="17"/>
              </w:rPr>
            </w:pPr>
            <w:r w:rsidRPr="00C22317">
              <w:rPr>
                <w:rFonts w:ascii="Arial" w:hAnsi="Arial" w:cs="Arial"/>
                <w:sz w:val="17"/>
                <w:szCs w:val="17"/>
              </w:rPr>
              <w:t>61,223</w:t>
            </w:r>
          </w:p>
        </w:tc>
      </w:tr>
      <w:tr w:rsidR="00CF2D07"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2D07" w:rsidRPr="00785016" w:rsidRDefault="00CF2D07" w:rsidP="00CF2D07">
            <w:pPr>
              <w:rPr>
                <w:rFonts w:ascii="Arial" w:hAnsi="Arial" w:cs="Arial"/>
                <w:sz w:val="17"/>
                <w:szCs w:val="17"/>
              </w:rPr>
            </w:pPr>
            <w:r w:rsidRPr="00C22317">
              <w:rPr>
                <w:rFonts w:ascii="Arial" w:hAnsi="Arial" w:cs="Arial"/>
                <w:sz w:val="17"/>
                <w:szCs w:val="17"/>
              </w:rPr>
              <w:t>Bienes Derivados de Embargos, Decomisos, Aseguramientos y Dación en Pago</w:t>
            </w:r>
          </w:p>
        </w:tc>
        <w:tc>
          <w:tcPr>
            <w:tcW w:w="2180" w:type="dxa"/>
            <w:tcBorders>
              <w:top w:val="single" w:sz="4" w:space="0" w:color="auto"/>
              <w:left w:val="nil"/>
              <w:bottom w:val="single" w:sz="4" w:space="0" w:color="auto"/>
              <w:right w:val="single" w:sz="4" w:space="0" w:color="auto"/>
            </w:tcBorders>
            <w:shd w:val="clear" w:color="auto" w:fill="auto"/>
          </w:tcPr>
          <w:p w:rsidR="00CF2D07" w:rsidRPr="00C22317" w:rsidRDefault="00CF2D07" w:rsidP="00CF2D07">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CF2D07" w:rsidRPr="00C22317" w:rsidRDefault="00CF2D07" w:rsidP="00CF2D07">
            <w:pPr>
              <w:jc w:val="right"/>
              <w:rPr>
                <w:rFonts w:ascii="Arial" w:hAnsi="Arial" w:cs="Arial"/>
                <w:sz w:val="17"/>
                <w:szCs w:val="17"/>
              </w:rPr>
            </w:pPr>
            <w:r w:rsidRPr="00C22317">
              <w:rPr>
                <w:rFonts w:ascii="Arial" w:hAnsi="Arial" w:cs="Arial"/>
                <w:sz w:val="17"/>
                <w:szCs w:val="17"/>
              </w:rPr>
              <w:t>787,602</w:t>
            </w:r>
          </w:p>
        </w:tc>
      </w:tr>
      <w:tr w:rsidR="00CF2D07" w:rsidRPr="002D70DA" w:rsidTr="003F2A85">
        <w:trPr>
          <w:trHeight w:val="240"/>
          <w:jc w:val="center"/>
        </w:trPr>
        <w:tc>
          <w:tcPr>
            <w:tcW w:w="4900" w:type="dxa"/>
            <w:tcBorders>
              <w:top w:val="nil"/>
              <w:left w:val="nil"/>
              <w:bottom w:val="nil"/>
              <w:right w:val="single" w:sz="4" w:space="0" w:color="auto"/>
            </w:tcBorders>
            <w:shd w:val="clear" w:color="000000" w:fill="FFFFFF"/>
            <w:vAlign w:val="center"/>
            <w:hideMark/>
          </w:tcPr>
          <w:p w:rsidR="00CF2D07" w:rsidRPr="002D70DA" w:rsidRDefault="00CF2D07" w:rsidP="00CF2D0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CF2D07" w:rsidRPr="002D70DA" w:rsidRDefault="00CF2D07" w:rsidP="00CF2D07">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t xml:space="preserve"> </w:t>
            </w:r>
            <w:r w:rsidRPr="00CF2D07">
              <w:rPr>
                <w:rFonts w:ascii="Arial" w:hAnsi="Arial" w:cs="Arial"/>
                <w:b/>
                <w:bCs/>
                <w:noProof/>
                <w:color w:val="000000"/>
                <w:sz w:val="17"/>
                <w:szCs w:val="17"/>
                <w14:numForm w14:val="lining"/>
              </w:rPr>
              <w:t>61,223</w:t>
            </w:r>
            <w:r w:rsidRPr="00785016">
              <w:rPr>
                <w:rFonts w:ascii="Arial" w:hAnsi="Arial" w:cs="Arial"/>
                <w:b/>
                <w:bCs/>
                <w:noProof/>
                <w:color w:val="000000"/>
                <w:sz w:val="17"/>
                <w:szCs w:val="17"/>
                <w14:numForm w14:val="lining"/>
              </w:rPr>
              <w:t xml:space="preserve">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F2D07" w:rsidRPr="002D70DA" w:rsidRDefault="00CF2D07" w:rsidP="00CF2D07">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t xml:space="preserve"> </w:t>
            </w:r>
            <w:r w:rsidRPr="00C22317">
              <w:rPr>
                <w:rFonts w:ascii="Arial" w:hAnsi="Arial" w:cs="Arial"/>
                <w:b/>
                <w:bCs/>
                <w:noProof/>
                <w:color w:val="000000"/>
                <w:sz w:val="17"/>
                <w:szCs w:val="17"/>
                <w14:numForm w14:val="lining"/>
              </w:rPr>
              <w:t>848,824</w:t>
            </w:r>
            <w:r w:rsidRPr="00785016">
              <w:rPr>
                <w:rFonts w:ascii="Arial" w:hAnsi="Arial" w:cs="Arial"/>
                <w:b/>
                <w:bCs/>
                <w:noProof/>
                <w:color w:val="000000"/>
                <w:sz w:val="17"/>
                <w:szCs w:val="17"/>
                <w14:numForm w14:val="lining"/>
              </w:rPr>
              <w:t xml:space="preserve">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bl>
    <w:p w:rsidR="00C22317" w:rsidRDefault="00876389" w:rsidP="00C2231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D</w:t>
      </w:r>
      <w:r w:rsidR="00C22317">
        <w:rPr>
          <w:rFonts w:ascii="Arial" w:eastAsia="Calibri" w:hAnsi="Arial" w:cs="Arial"/>
          <w:spacing w:val="-1"/>
          <w:sz w:val="17"/>
          <w:szCs w:val="17"/>
        </w:rPr>
        <w:t>istribuido de la siguiente manera:</w:t>
      </w:r>
    </w:p>
    <w:p w:rsidR="00C22317" w:rsidRPr="002D70DA" w:rsidRDefault="00C22317" w:rsidP="00C2231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C2231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22317" w:rsidRPr="002D70DA" w:rsidRDefault="00C22317" w:rsidP="009A281C">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22317" w:rsidRPr="002D70DA" w:rsidRDefault="00582811" w:rsidP="009A281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22317" w:rsidRPr="002D70DA" w:rsidRDefault="00582811" w:rsidP="009A281C">
            <w:pPr>
              <w:jc w:val="center"/>
              <w:rPr>
                <w:rFonts w:ascii="Arial" w:hAnsi="Arial" w:cs="Arial"/>
                <w:b/>
                <w:bCs/>
                <w:color w:val="000000"/>
                <w:sz w:val="17"/>
                <w:szCs w:val="17"/>
              </w:rPr>
            </w:pPr>
            <w:r>
              <w:rPr>
                <w:rFonts w:ascii="Arial" w:hAnsi="Arial" w:cs="Arial"/>
                <w:b/>
                <w:bCs/>
                <w:color w:val="000000"/>
                <w:sz w:val="17"/>
                <w:szCs w:val="17"/>
              </w:rPr>
              <w:t>2016</w:t>
            </w:r>
          </w:p>
        </w:tc>
      </w:tr>
      <w:tr w:rsidR="00CF2D0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2D07" w:rsidRPr="006C5E04" w:rsidRDefault="00CF2D07" w:rsidP="00CF2D07">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CF2D07" w:rsidRPr="006E15EE" w:rsidRDefault="00CF2D07" w:rsidP="00CF2D07">
            <w:pPr>
              <w:jc w:val="right"/>
              <w:rPr>
                <w:rFonts w:ascii="Arial" w:hAnsi="Arial" w:cs="Arial"/>
                <w:b/>
                <w:sz w:val="17"/>
                <w:szCs w:val="17"/>
              </w:rPr>
            </w:pPr>
            <w:r w:rsidRPr="00CF2D07">
              <w:rPr>
                <w:rFonts w:ascii="Arial" w:hAnsi="Arial" w:cs="Arial"/>
                <w:b/>
                <w:sz w:val="17"/>
                <w:szCs w:val="17"/>
              </w:rPr>
              <w:t>61,223</w:t>
            </w:r>
          </w:p>
        </w:tc>
        <w:tc>
          <w:tcPr>
            <w:tcW w:w="2180" w:type="dxa"/>
            <w:tcBorders>
              <w:top w:val="single" w:sz="4" w:space="0" w:color="auto"/>
              <w:left w:val="nil"/>
              <w:bottom w:val="single" w:sz="4" w:space="0" w:color="auto"/>
              <w:right w:val="single" w:sz="4" w:space="0" w:color="auto"/>
            </w:tcBorders>
            <w:shd w:val="clear" w:color="auto" w:fill="auto"/>
          </w:tcPr>
          <w:p w:rsidR="00CF2D07" w:rsidRPr="006E15EE" w:rsidRDefault="00CF2D07" w:rsidP="00CF2D07">
            <w:pPr>
              <w:jc w:val="right"/>
              <w:rPr>
                <w:rFonts w:ascii="Arial" w:hAnsi="Arial" w:cs="Arial"/>
                <w:b/>
                <w:sz w:val="17"/>
                <w:szCs w:val="17"/>
              </w:rPr>
            </w:pPr>
            <w:r w:rsidRPr="00C22317">
              <w:rPr>
                <w:rFonts w:ascii="Arial" w:hAnsi="Arial" w:cs="Arial"/>
                <w:b/>
                <w:sz w:val="17"/>
                <w:szCs w:val="17"/>
              </w:rPr>
              <w:t>848,824</w:t>
            </w:r>
          </w:p>
        </w:tc>
      </w:tr>
      <w:tr w:rsidR="00CF2D0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2D07" w:rsidRPr="009D4479" w:rsidRDefault="00CF2D07" w:rsidP="00CF2D07">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CF2D07" w:rsidRPr="00C22317" w:rsidRDefault="00CF2D07" w:rsidP="00CF2D07">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CF2D07" w:rsidRPr="00C22317" w:rsidRDefault="00CF2D07" w:rsidP="00CF2D07">
            <w:pPr>
              <w:jc w:val="right"/>
              <w:rPr>
                <w:rFonts w:ascii="Arial" w:hAnsi="Arial" w:cs="Arial"/>
                <w:sz w:val="17"/>
                <w:szCs w:val="17"/>
              </w:rPr>
            </w:pPr>
            <w:r w:rsidRPr="00C22317">
              <w:rPr>
                <w:rFonts w:ascii="Arial" w:hAnsi="Arial" w:cs="Arial"/>
                <w:sz w:val="17"/>
                <w:szCs w:val="17"/>
              </w:rPr>
              <w:t>787,602</w:t>
            </w:r>
          </w:p>
        </w:tc>
      </w:tr>
      <w:tr w:rsidR="00CF2D07" w:rsidRPr="002D70DA" w:rsidTr="009A281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2D07" w:rsidRPr="009D4479" w:rsidRDefault="00CF2D07" w:rsidP="00CF2D07">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F2D07" w:rsidRPr="00C22317" w:rsidRDefault="00CF2D07" w:rsidP="00CF2D07">
            <w:pPr>
              <w:jc w:val="right"/>
              <w:rPr>
                <w:rFonts w:ascii="Arial" w:hAnsi="Arial" w:cs="Arial"/>
                <w:sz w:val="17"/>
                <w:szCs w:val="17"/>
              </w:rPr>
            </w:pPr>
            <w:r w:rsidRPr="00C22317">
              <w:rPr>
                <w:rFonts w:ascii="Arial" w:hAnsi="Arial" w:cs="Arial"/>
                <w:sz w:val="17"/>
                <w:szCs w:val="17"/>
              </w:rPr>
              <w:t>61,223</w:t>
            </w:r>
          </w:p>
        </w:tc>
        <w:tc>
          <w:tcPr>
            <w:tcW w:w="2180" w:type="dxa"/>
            <w:tcBorders>
              <w:top w:val="single" w:sz="4" w:space="0" w:color="auto"/>
              <w:left w:val="nil"/>
              <w:bottom w:val="single" w:sz="4" w:space="0" w:color="auto"/>
              <w:right w:val="single" w:sz="4" w:space="0" w:color="auto"/>
            </w:tcBorders>
            <w:shd w:val="clear" w:color="auto" w:fill="auto"/>
          </w:tcPr>
          <w:p w:rsidR="00CF2D07" w:rsidRPr="00C22317" w:rsidRDefault="00CF2D07" w:rsidP="00CF2D07">
            <w:pPr>
              <w:jc w:val="right"/>
              <w:rPr>
                <w:rFonts w:ascii="Arial" w:hAnsi="Arial" w:cs="Arial"/>
                <w:sz w:val="17"/>
                <w:szCs w:val="17"/>
              </w:rPr>
            </w:pPr>
            <w:r w:rsidRPr="00C22317">
              <w:rPr>
                <w:rFonts w:ascii="Arial" w:hAnsi="Arial" w:cs="Arial"/>
                <w:sz w:val="17"/>
                <w:szCs w:val="17"/>
              </w:rPr>
              <w:t>61,223</w:t>
            </w:r>
          </w:p>
        </w:tc>
      </w:tr>
      <w:tr w:rsidR="00CF2D07" w:rsidRPr="002D70DA" w:rsidTr="009A281C">
        <w:trPr>
          <w:trHeight w:val="240"/>
          <w:jc w:val="center"/>
        </w:trPr>
        <w:tc>
          <w:tcPr>
            <w:tcW w:w="4900" w:type="dxa"/>
            <w:tcBorders>
              <w:top w:val="nil"/>
              <w:left w:val="nil"/>
              <w:bottom w:val="nil"/>
              <w:right w:val="single" w:sz="4" w:space="0" w:color="auto"/>
            </w:tcBorders>
            <w:shd w:val="clear" w:color="000000" w:fill="FFFFFF"/>
            <w:vAlign w:val="center"/>
            <w:hideMark/>
          </w:tcPr>
          <w:p w:rsidR="00CF2D07" w:rsidRPr="002D70DA" w:rsidRDefault="00CF2D07" w:rsidP="00CF2D0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CF2D07" w:rsidRPr="005B5FB9" w:rsidRDefault="00CF2D07" w:rsidP="00CF2D07">
            <w:pPr>
              <w:jc w:val="right"/>
              <w:rPr>
                <w:rFonts w:ascii="Arial" w:hAnsi="Arial" w:cs="Arial"/>
                <w:b/>
                <w:bCs/>
                <w:color w:val="000000"/>
                <w:sz w:val="17"/>
                <w:szCs w:val="17"/>
                <w14:numForm w14:val="lining"/>
              </w:rPr>
            </w:pPr>
            <w:r w:rsidRPr="00CF2D07">
              <w:rPr>
                <w:rFonts w:ascii="Arial" w:hAnsi="Arial" w:cs="Arial"/>
                <w:b/>
                <w:bCs/>
                <w:color w:val="000000"/>
                <w:sz w:val="17"/>
                <w:szCs w:val="17"/>
                <w14:numForm w14:val="lining"/>
              </w:rPr>
              <w:t>61,223</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F2D07" w:rsidRPr="005B5FB9" w:rsidRDefault="00CF2D07" w:rsidP="00CF2D07">
            <w:pPr>
              <w:jc w:val="right"/>
              <w:rPr>
                <w:rFonts w:ascii="Arial" w:hAnsi="Arial" w:cs="Arial"/>
                <w:b/>
                <w:bCs/>
                <w:color w:val="000000"/>
                <w:sz w:val="17"/>
                <w:szCs w:val="17"/>
                <w14:numForm w14:val="lining"/>
              </w:rPr>
            </w:pPr>
            <w:r w:rsidRPr="00C22317">
              <w:rPr>
                <w:rFonts w:ascii="Arial" w:hAnsi="Arial" w:cs="Arial"/>
                <w:b/>
                <w:bCs/>
                <w:color w:val="000000"/>
                <w:sz w:val="17"/>
                <w:szCs w:val="17"/>
                <w14:numForm w14:val="lining"/>
              </w:rPr>
              <w:t>848,824</w:t>
            </w:r>
          </w:p>
        </w:tc>
      </w:tr>
    </w:tbl>
    <w:p w:rsidR="003F2A85" w:rsidRDefault="003F2A85">
      <w:pPr>
        <w:rPr>
          <w:rFonts w:ascii="Arial" w:eastAsia="Calibri" w:hAnsi="Arial" w:cs="Arial"/>
          <w:b/>
          <w:spacing w:val="-1"/>
          <w:sz w:val="17"/>
          <w:szCs w:val="17"/>
        </w:rPr>
      </w:pPr>
    </w:p>
    <w:p w:rsidR="00CF2D07" w:rsidRPr="00CF2D07" w:rsidRDefault="00CF2D07" w:rsidP="00CF2D07">
      <w:pPr>
        <w:spacing w:before="80" w:line="250" w:lineRule="exact"/>
        <w:ind w:left="357"/>
        <w:jc w:val="both"/>
        <w:rPr>
          <w:rFonts w:ascii="Arial" w:eastAsia="Calibri" w:hAnsi="Arial" w:cs="Arial"/>
          <w:b/>
          <w:spacing w:val="-1"/>
          <w:sz w:val="17"/>
          <w:szCs w:val="17"/>
        </w:rPr>
      </w:pPr>
    </w:p>
    <w:p w:rsidR="006335BE" w:rsidRPr="002D70DA" w:rsidRDefault="006335BE"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785016" w:rsidRPr="00785016" w:rsidRDefault="00785016" w:rsidP="00214B4E">
      <w:pPr>
        <w:spacing w:before="80" w:line="250" w:lineRule="exact"/>
        <w:ind w:left="709"/>
        <w:jc w:val="both"/>
        <w:rPr>
          <w:rFonts w:ascii="Arial" w:eastAsia="Calibri" w:hAnsi="Arial" w:cs="Arial"/>
          <w:spacing w:val="-1"/>
          <w:sz w:val="17"/>
          <w:szCs w:val="17"/>
        </w:rPr>
      </w:pPr>
      <w:r w:rsidRPr="00785016">
        <w:rPr>
          <w:rFonts w:ascii="Arial" w:eastAsia="Calibri" w:hAnsi="Arial" w:cs="Arial"/>
          <w:spacing w:val="-1"/>
          <w:sz w:val="17"/>
          <w:szCs w:val="17"/>
        </w:rPr>
        <w:t xml:space="preserve">En este apartado se informa la integración del </w:t>
      </w:r>
      <w:r>
        <w:rPr>
          <w:rFonts w:ascii="Arial" w:eastAsia="Calibri" w:hAnsi="Arial" w:cs="Arial"/>
          <w:spacing w:val="-1"/>
          <w:sz w:val="17"/>
          <w:szCs w:val="17"/>
        </w:rPr>
        <w:t xml:space="preserve">Inversiones Financieras a Largo Plazo </w:t>
      </w:r>
      <w:r w:rsidRPr="00785016">
        <w:rPr>
          <w:rFonts w:ascii="Arial" w:eastAsia="Calibri" w:hAnsi="Arial" w:cs="Arial"/>
          <w:spacing w:val="-1"/>
          <w:sz w:val="17"/>
          <w:szCs w:val="17"/>
        </w:rPr>
        <w:t xml:space="preserve">del </w:t>
      </w:r>
      <w:r w:rsidR="00E14F1F">
        <w:rPr>
          <w:rFonts w:ascii="Arial" w:eastAsia="Calibri" w:hAnsi="Arial" w:cs="Arial"/>
          <w:spacing w:val="-1"/>
          <w:sz w:val="17"/>
          <w:szCs w:val="17"/>
        </w:rPr>
        <w:t>Gobierno</w:t>
      </w:r>
      <w:r w:rsidRPr="00785016">
        <w:rPr>
          <w:rFonts w:ascii="Arial" w:eastAsia="Calibri" w:hAnsi="Arial" w:cs="Arial"/>
          <w:spacing w:val="-1"/>
          <w:sz w:val="17"/>
          <w:szCs w:val="17"/>
        </w:rPr>
        <w:t xml:space="preserve"> del Estado:</w:t>
      </w:r>
    </w:p>
    <w:p w:rsidR="00785016" w:rsidRPr="00785016" w:rsidRDefault="00785016" w:rsidP="00785016">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85016" w:rsidRPr="002D70DA" w:rsidTr="008E6E1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016" w:rsidRPr="002D70DA" w:rsidRDefault="00785016" w:rsidP="001A0060">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5016" w:rsidRPr="002D70DA" w:rsidRDefault="00582811" w:rsidP="001A0060">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5016" w:rsidRPr="002D70DA" w:rsidRDefault="00582811" w:rsidP="001A0060">
            <w:pPr>
              <w:jc w:val="center"/>
              <w:rPr>
                <w:rFonts w:ascii="Arial" w:hAnsi="Arial" w:cs="Arial"/>
                <w:b/>
                <w:bCs/>
                <w:color w:val="000000"/>
                <w:sz w:val="17"/>
                <w:szCs w:val="17"/>
              </w:rPr>
            </w:pPr>
            <w:r>
              <w:rPr>
                <w:rFonts w:ascii="Arial" w:hAnsi="Arial" w:cs="Arial"/>
                <w:b/>
                <w:bCs/>
                <w:color w:val="000000"/>
                <w:sz w:val="17"/>
                <w:szCs w:val="17"/>
              </w:rPr>
              <w:t>2016</w:t>
            </w:r>
          </w:p>
        </w:tc>
      </w:tr>
      <w:tr w:rsidR="005B7578"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B7578" w:rsidRPr="00785016" w:rsidRDefault="005B7578" w:rsidP="005B7578">
            <w:pPr>
              <w:rPr>
                <w:rFonts w:ascii="Arial" w:hAnsi="Arial" w:cs="Arial"/>
                <w:sz w:val="17"/>
                <w:szCs w:val="17"/>
              </w:rPr>
            </w:pPr>
            <w:r w:rsidRPr="00785016">
              <w:rPr>
                <w:rFonts w:ascii="Arial" w:hAnsi="Arial" w:cs="Arial"/>
                <w:sz w:val="17"/>
                <w:szCs w:val="17"/>
              </w:rPr>
              <w:t>Fideicomisos, Mandatos y Contratos Análogos</w:t>
            </w:r>
          </w:p>
        </w:tc>
        <w:tc>
          <w:tcPr>
            <w:tcW w:w="2180" w:type="dxa"/>
            <w:tcBorders>
              <w:top w:val="single" w:sz="4" w:space="0" w:color="auto"/>
              <w:left w:val="nil"/>
              <w:bottom w:val="single" w:sz="4" w:space="0" w:color="auto"/>
              <w:right w:val="single" w:sz="4" w:space="0" w:color="auto"/>
            </w:tcBorders>
            <w:shd w:val="clear" w:color="auto" w:fill="auto"/>
          </w:tcPr>
          <w:p w:rsidR="005B7578" w:rsidRPr="00C56C77" w:rsidRDefault="005B7578" w:rsidP="005B7578">
            <w:pPr>
              <w:jc w:val="right"/>
              <w:rPr>
                <w:rFonts w:ascii="Arial" w:hAnsi="Arial" w:cs="Arial"/>
                <w:sz w:val="17"/>
                <w:szCs w:val="17"/>
              </w:rPr>
            </w:pPr>
            <w:r w:rsidRPr="00DC1376">
              <w:rPr>
                <w:rFonts w:ascii="Arial" w:hAnsi="Arial" w:cs="Arial"/>
                <w:sz w:val="17"/>
                <w:szCs w:val="17"/>
              </w:rPr>
              <w:t>39,390,74</w:t>
            </w:r>
            <w:r>
              <w:rPr>
                <w:rFonts w:ascii="Arial" w:hAnsi="Arial" w:cs="Arial"/>
                <w:sz w:val="17"/>
                <w:szCs w:val="17"/>
              </w:rPr>
              <w:t>6</w:t>
            </w:r>
          </w:p>
        </w:tc>
        <w:tc>
          <w:tcPr>
            <w:tcW w:w="2180" w:type="dxa"/>
            <w:tcBorders>
              <w:top w:val="single" w:sz="4" w:space="0" w:color="auto"/>
              <w:left w:val="nil"/>
              <w:bottom w:val="single" w:sz="4" w:space="0" w:color="auto"/>
              <w:right w:val="single" w:sz="4" w:space="0" w:color="auto"/>
            </w:tcBorders>
            <w:shd w:val="clear" w:color="auto" w:fill="auto"/>
          </w:tcPr>
          <w:p w:rsidR="005B7578" w:rsidRPr="00C56C77" w:rsidRDefault="005B7578" w:rsidP="005B7578">
            <w:pPr>
              <w:jc w:val="right"/>
              <w:rPr>
                <w:rFonts w:ascii="Arial" w:hAnsi="Arial" w:cs="Arial"/>
                <w:sz w:val="17"/>
                <w:szCs w:val="17"/>
              </w:rPr>
            </w:pPr>
            <w:r w:rsidRPr="00525AA8">
              <w:rPr>
                <w:rFonts w:ascii="Arial" w:hAnsi="Arial" w:cs="Arial"/>
                <w:sz w:val="17"/>
                <w:szCs w:val="17"/>
              </w:rPr>
              <w:t>424,764,570</w:t>
            </w:r>
          </w:p>
        </w:tc>
      </w:tr>
      <w:tr w:rsidR="005B7578"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B7578" w:rsidRPr="00785016" w:rsidRDefault="005B7578" w:rsidP="005B7578">
            <w:pPr>
              <w:rPr>
                <w:rFonts w:ascii="Arial" w:hAnsi="Arial" w:cs="Arial"/>
                <w:sz w:val="17"/>
                <w:szCs w:val="17"/>
              </w:rPr>
            </w:pPr>
            <w:r w:rsidRPr="00785016">
              <w:rPr>
                <w:rFonts w:ascii="Arial" w:hAnsi="Arial" w:cs="Arial"/>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auto" w:fill="auto"/>
          </w:tcPr>
          <w:p w:rsidR="005B7578" w:rsidRPr="00C56C77" w:rsidRDefault="005B7578" w:rsidP="005B7578">
            <w:pPr>
              <w:jc w:val="right"/>
              <w:rPr>
                <w:rFonts w:ascii="Arial" w:hAnsi="Arial" w:cs="Arial"/>
                <w:sz w:val="17"/>
                <w:szCs w:val="17"/>
              </w:rPr>
            </w:pPr>
            <w:r w:rsidRPr="00525AA8">
              <w:rPr>
                <w:rFonts w:ascii="Arial" w:hAnsi="Arial" w:cs="Arial"/>
                <w:sz w:val="17"/>
                <w:szCs w:val="17"/>
              </w:rPr>
              <w:t>393,211,926</w:t>
            </w:r>
          </w:p>
        </w:tc>
        <w:tc>
          <w:tcPr>
            <w:tcW w:w="2180" w:type="dxa"/>
            <w:tcBorders>
              <w:top w:val="single" w:sz="4" w:space="0" w:color="auto"/>
              <w:left w:val="nil"/>
              <w:bottom w:val="single" w:sz="4" w:space="0" w:color="auto"/>
              <w:right w:val="single" w:sz="4" w:space="0" w:color="auto"/>
            </w:tcBorders>
            <w:shd w:val="clear" w:color="auto" w:fill="auto"/>
          </w:tcPr>
          <w:p w:rsidR="005B7578" w:rsidRPr="00C56C77" w:rsidRDefault="005B7578" w:rsidP="005B7578">
            <w:pPr>
              <w:jc w:val="right"/>
              <w:rPr>
                <w:rFonts w:ascii="Arial" w:hAnsi="Arial" w:cs="Arial"/>
                <w:sz w:val="17"/>
                <w:szCs w:val="17"/>
              </w:rPr>
            </w:pPr>
            <w:r w:rsidRPr="00525AA8">
              <w:rPr>
                <w:rFonts w:ascii="Arial" w:hAnsi="Arial" w:cs="Arial"/>
                <w:sz w:val="17"/>
                <w:szCs w:val="17"/>
              </w:rPr>
              <w:t>307,928,051</w:t>
            </w:r>
          </w:p>
        </w:tc>
      </w:tr>
      <w:tr w:rsidR="005B7578" w:rsidRPr="002D70DA" w:rsidTr="009915A4">
        <w:trPr>
          <w:trHeight w:val="240"/>
          <w:jc w:val="center"/>
        </w:trPr>
        <w:tc>
          <w:tcPr>
            <w:tcW w:w="4900" w:type="dxa"/>
            <w:tcBorders>
              <w:top w:val="nil"/>
              <w:left w:val="nil"/>
              <w:bottom w:val="nil"/>
              <w:right w:val="single" w:sz="4" w:space="0" w:color="auto"/>
            </w:tcBorders>
            <w:shd w:val="clear" w:color="000000" w:fill="FFFFFF"/>
            <w:vAlign w:val="center"/>
            <w:hideMark/>
          </w:tcPr>
          <w:p w:rsidR="005B7578" w:rsidRPr="002D70DA" w:rsidRDefault="005B7578" w:rsidP="005B757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5B7578" w:rsidRPr="00C56C77" w:rsidRDefault="005B7578" w:rsidP="005B7578">
            <w:pPr>
              <w:jc w:val="right"/>
              <w:rPr>
                <w:rFonts w:ascii="Arial" w:hAnsi="Arial" w:cs="Arial"/>
                <w:b/>
                <w:sz w:val="17"/>
                <w:szCs w:val="17"/>
              </w:rPr>
            </w:pPr>
            <w:r w:rsidRPr="00DC1376">
              <w:rPr>
                <w:rFonts w:ascii="Arial" w:hAnsi="Arial" w:cs="Arial"/>
                <w:b/>
                <w:sz w:val="17"/>
                <w:szCs w:val="17"/>
              </w:rPr>
              <w:t>432,602,67</w:t>
            </w:r>
            <w:r>
              <w:rPr>
                <w:rFonts w:ascii="Arial" w:hAnsi="Arial" w:cs="Arial"/>
                <w:b/>
                <w:sz w:val="17"/>
                <w:szCs w:val="17"/>
              </w:rPr>
              <w:t>2</w:t>
            </w:r>
          </w:p>
        </w:tc>
        <w:tc>
          <w:tcPr>
            <w:tcW w:w="2180" w:type="dxa"/>
            <w:tcBorders>
              <w:top w:val="nil"/>
              <w:left w:val="single" w:sz="4" w:space="0" w:color="auto"/>
              <w:bottom w:val="single" w:sz="4" w:space="0" w:color="auto"/>
              <w:right w:val="single" w:sz="4" w:space="0" w:color="auto"/>
            </w:tcBorders>
            <w:shd w:val="clear" w:color="000000" w:fill="FFFFFF"/>
            <w:hideMark/>
          </w:tcPr>
          <w:p w:rsidR="005B7578" w:rsidRPr="00C56C77" w:rsidRDefault="005B7578" w:rsidP="005B7578">
            <w:pPr>
              <w:jc w:val="right"/>
              <w:rPr>
                <w:rFonts w:ascii="Arial" w:hAnsi="Arial" w:cs="Arial"/>
                <w:b/>
                <w:sz w:val="17"/>
                <w:szCs w:val="17"/>
              </w:rPr>
            </w:pPr>
            <w:r w:rsidRPr="00525AA8">
              <w:rPr>
                <w:rFonts w:ascii="Arial" w:hAnsi="Arial" w:cs="Arial"/>
                <w:b/>
                <w:sz w:val="17"/>
                <w:szCs w:val="17"/>
              </w:rPr>
              <w:t>732,692,621</w:t>
            </w:r>
          </w:p>
        </w:tc>
      </w:tr>
    </w:tbl>
    <w:p w:rsidR="003F2A85" w:rsidRDefault="003F2A85" w:rsidP="00785016">
      <w:pPr>
        <w:spacing w:before="13" w:line="250" w:lineRule="exact"/>
        <w:ind w:left="709"/>
        <w:jc w:val="both"/>
        <w:rPr>
          <w:rFonts w:ascii="Arial" w:eastAsia="Calibri" w:hAnsi="Arial" w:cs="Arial"/>
          <w:spacing w:val="-1"/>
          <w:sz w:val="17"/>
          <w:szCs w:val="17"/>
        </w:rPr>
      </w:pPr>
    </w:p>
    <w:p w:rsidR="005B7578" w:rsidRDefault="005B7578" w:rsidP="005B7578">
      <w:pPr>
        <w:spacing w:before="13" w:line="250" w:lineRule="exact"/>
        <w:ind w:left="709"/>
        <w:jc w:val="both"/>
        <w:rPr>
          <w:rFonts w:ascii="Arial" w:eastAsia="Calibri" w:hAnsi="Arial" w:cs="Arial"/>
          <w:spacing w:val="-1"/>
          <w:sz w:val="17"/>
          <w:szCs w:val="17"/>
        </w:rPr>
      </w:pPr>
    </w:p>
    <w:p w:rsidR="005B7578" w:rsidRDefault="00876389" w:rsidP="005B7578">
      <w:pPr>
        <w:spacing w:before="13"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monto reportado el cierre del ejercicio </w:t>
      </w:r>
      <w:r w:rsidR="00582811">
        <w:rPr>
          <w:rFonts w:ascii="Arial" w:eastAsia="Calibri" w:hAnsi="Arial" w:cs="Arial"/>
          <w:spacing w:val="-1"/>
          <w:sz w:val="17"/>
          <w:szCs w:val="17"/>
        </w:rPr>
        <w:t>2017</w:t>
      </w:r>
      <w:r>
        <w:rPr>
          <w:rFonts w:ascii="Arial" w:eastAsia="Calibri" w:hAnsi="Arial" w:cs="Arial"/>
          <w:spacing w:val="-1"/>
          <w:sz w:val="17"/>
          <w:szCs w:val="17"/>
        </w:rPr>
        <w:t xml:space="preserve"> corresponde en su totalidad al Poder Ejecutivo.</w:t>
      </w:r>
      <w:r w:rsidR="005B7578">
        <w:rPr>
          <w:rFonts w:ascii="Arial" w:eastAsia="Calibri" w:hAnsi="Arial" w:cs="Arial"/>
          <w:spacing w:val="-1"/>
          <w:sz w:val="17"/>
          <w:szCs w:val="17"/>
        </w:rPr>
        <w:t xml:space="preserve"> </w:t>
      </w:r>
      <w:r w:rsidR="005B7578" w:rsidRPr="00677294">
        <w:rPr>
          <w:rFonts w:ascii="Arial" w:eastAsia="Calibri" w:hAnsi="Arial" w:cs="Arial"/>
          <w:spacing w:val="-1"/>
          <w:sz w:val="17"/>
          <w:szCs w:val="17"/>
        </w:rPr>
        <w:t>La reducción en Fideicomisos, Mandatos y Contratos Análogos se debe a la desincorporación de algunos Fideicomisos, al considerarse como entidades paraestatales.</w:t>
      </w:r>
    </w:p>
    <w:p w:rsidR="00876389" w:rsidRDefault="00876389" w:rsidP="00785016">
      <w:pPr>
        <w:spacing w:before="13" w:line="250" w:lineRule="exact"/>
        <w:ind w:left="709"/>
        <w:jc w:val="both"/>
        <w:rPr>
          <w:rFonts w:ascii="Arial" w:eastAsia="Calibri" w:hAnsi="Arial" w:cs="Arial"/>
          <w:spacing w:val="-1"/>
          <w:sz w:val="17"/>
          <w:szCs w:val="17"/>
        </w:rPr>
      </w:pPr>
    </w:p>
    <w:p w:rsidR="005B7578" w:rsidRDefault="005B7578" w:rsidP="00785016">
      <w:pPr>
        <w:spacing w:before="13" w:line="250" w:lineRule="exact"/>
        <w:ind w:left="709"/>
        <w:jc w:val="both"/>
        <w:rPr>
          <w:rFonts w:ascii="Arial" w:eastAsia="Calibri" w:hAnsi="Arial" w:cs="Arial"/>
          <w:spacing w:val="-1"/>
          <w:sz w:val="17"/>
          <w:szCs w:val="17"/>
        </w:rPr>
      </w:pPr>
    </w:p>
    <w:p w:rsidR="005B7578" w:rsidRDefault="005B7578" w:rsidP="00785016">
      <w:pPr>
        <w:spacing w:before="13" w:line="250" w:lineRule="exact"/>
        <w:ind w:left="709"/>
        <w:jc w:val="both"/>
        <w:rPr>
          <w:rFonts w:ascii="Arial" w:eastAsia="Calibri" w:hAnsi="Arial" w:cs="Arial"/>
          <w:spacing w:val="-1"/>
          <w:sz w:val="17"/>
          <w:szCs w:val="17"/>
        </w:rPr>
      </w:pPr>
    </w:p>
    <w:p w:rsidR="00876389" w:rsidRDefault="00876389" w:rsidP="00785016">
      <w:pPr>
        <w:spacing w:before="13" w:line="250" w:lineRule="exact"/>
        <w:ind w:left="709"/>
        <w:jc w:val="both"/>
        <w:rPr>
          <w:rFonts w:ascii="Arial" w:eastAsia="Calibri" w:hAnsi="Arial" w:cs="Arial"/>
          <w:spacing w:val="-1"/>
          <w:sz w:val="17"/>
          <w:szCs w:val="17"/>
        </w:rPr>
      </w:pPr>
    </w:p>
    <w:p w:rsidR="007A5CAF" w:rsidRPr="002D70DA" w:rsidRDefault="007A5CAF" w:rsidP="00812398">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7A5CAF">
        <w:rPr>
          <w:rFonts w:ascii="Arial" w:eastAsia="Calibri" w:hAnsi="Arial" w:cs="Arial"/>
          <w:b/>
          <w:spacing w:val="-1"/>
          <w:sz w:val="17"/>
          <w:szCs w:val="17"/>
        </w:rPr>
        <w:lastRenderedPageBreak/>
        <w:t>Derechos a Recibir Efectivo o Equivalentes a Largo Plazo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582811">
        <w:rPr>
          <w:rFonts w:ascii="Arial" w:eastAsia="Calibri" w:hAnsi="Arial" w:cs="Arial"/>
          <w:spacing w:val="-1"/>
          <w:sz w:val="17"/>
          <w:szCs w:val="17"/>
        </w:rPr>
        <w:t>2017</w:t>
      </w:r>
      <w:r w:rsidRPr="00021A85">
        <w:rPr>
          <w:rFonts w:ascii="Arial" w:eastAsia="Calibri" w:hAnsi="Arial" w:cs="Arial"/>
          <w:spacing w:val="-1"/>
          <w:sz w:val="17"/>
          <w:szCs w:val="17"/>
        </w:rPr>
        <w:t xml:space="preserve"> de la cuenta Otros Derechos a Recibir Efectivo o Equivalentes a Largo Plazo</w:t>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21A85" w:rsidRPr="002D70DA" w:rsidTr="007B37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582811" w:rsidP="007B37D9">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582811" w:rsidP="007B37D9">
            <w:pPr>
              <w:jc w:val="center"/>
              <w:rPr>
                <w:rFonts w:ascii="Arial" w:hAnsi="Arial" w:cs="Arial"/>
                <w:b/>
                <w:bCs/>
                <w:color w:val="000000"/>
                <w:sz w:val="17"/>
                <w:szCs w:val="17"/>
              </w:rPr>
            </w:pPr>
            <w:r>
              <w:rPr>
                <w:rFonts w:ascii="Arial" w:hAnsi="Arial" w:cs="Arial"/>
                <w:b/>
                <w:bCs/>
                <w:color w:val="000000"/>
                <w:sz w:val="17"/>
                <w:szCs w:val="17"/>
              </w:rPr>
              <w:t>2016</w:t>
            </w:r>
          </w:p>
        </w:tc>
      </w:tr>
      <w:tr w:rsidR="00021A85" w:rsidRPr="002D70DA" w:rsidTr="007B37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21A85" w:rsidRPr="00785016" w:rsidRDefault="00021A85" w:rsidP="007B37D9">
            <w:pPr>
              <w:rPr>
                <w:rFonts w:ascii="Arial" w:hAnsi="Arial" w:cs="Arial"/>
                <w:sz w:val="17"/>
                <w:szCs w:val="17"/>
              </w:rPr>
            </w:pPr>
            <w:r w:rsidRPr="00021A85">
              <w:rPr>
                <w:rFonts w:ascii="Arial" w:hAnsi="Arial" w:cs="Arial"/>
                <w:sz w:val="17"/>
                <w:szCs w:val="17"/>
              </w:rPr>
              <w:t>Otros Derechos a Recibir Efectivo o Equivalentes a Largo Plazo</w:t>
            </w:r>
          </w:p>
        </w:tc>
        <w:tc>
          <w:tcPr>
            <w:tcW w:w="2180" w:type="dxa"/>
            <w:tcBorders>
              <w:top w:val="single" w:sz="4" w:space="0" w:color="auto"/>
              <w:left w:val="nil"/>
              <w:bottom w:val="single" w:sz="4" w:space="0" w:color="auto"/>
              <w:right w:val="single" w:sz="4" w:space="0" w:color="auto"/>
            </w:tcBorders>
            <w:shd w:val="clear" w:color="auto" w:fill="auto"/>
          </w:tcPr>
          <w:p w:rsidR="00021A85" w:rsidRPr="00785016" w:rsidRDefault="00AC18F1" w:rsidP="007B37D9">
            <w:pPr>
              <w:jc w:val="right"/>
              <w:rPr>
                <w:rFonts w:ascii="Arial" w:hAnsi="Arial" w:cs="Arial"/>
                <w:sz w:val="17"/>
                <w:szCs w:val="17"/>
              </w:rPr>
            </w:pPr>
            <w:r w:rsidRPr="00AC18F1">
              <w:rPr>
                <w:rFonts w:ascii="Arial" w:hAnsi="Arial" w:cs="Arial"/>
                <w:sz w:val="17"/>
                <w:szCs w:val="17"/>
              </w:rPr>
              <w:t>32,459,354</w:t>
            </w:r>
          </w:p>
        </w:tc>
        <w:tc>
          <w:tcPr>
            <w:tcW w:w="2180" w:type="dxa"/>
            <w:tcBorders>
              <w:top w:val="single" w:sz="4" w:space="0" w:color="auto"/>
              <w:left w:val="nil"/>
              <w:bottom w:val="single" w:sz="4" w:space="0" w:color="auto"/>
              <w:right w:val="single" w:sz="4" w:space="0" w:color="auto"/>
            </w:tcBorders>
            <w:shd w:val="clear" w:color="auto" w:fill="auto"/>
          </w:tcPr>
          <w:p w:rsidR="00021A85" w:rsidRPr="00785016" w:rsidRDefault="00AC18F1" w:rsidP="007B37D9">
            <w:pPr>
              <w:jc w:val="right"/>
              <w:rPr>
                <w:rFonts w:ascii="Arial" w:hAnsi="Arial" w:cs="Arial"/>
                <w:sz w:val="17"/>
                <w:szCs w:val="17"/>
              </w:rPr>
            </w:pPr>
            <w:r w:rsidRPr="00AC18F1">
              <w:rPr>
                <w:rFonts w:ascii="Arial" w:hAnsi="Arial" w:cs="Arial"/>
                <w:sz w:val="17"/>
                <w:szCs w:val="17"/>
              </w:rPr>
              <w:t>32,459,354</w:t>
            </w:r>
          </w:p>
        </w:tc>
      </w:tr>
    </w:tbl>
    <w:p w:rsidR="00DC6176" w:rsidRDefault="00DC6176" w:rsidP="006E15EE">
      <w:pPr>
        <w:autoSpaceDE w:val="0"/>
        <w:autoSpaceDN w:val="0"/>
        <w:adjustRightInd w:val="0"/>
        <w:spacing w:before="240" w:after="120"/>
        <w:ind w:left="709"/>
        <w:rPr>
          <w:rFonts w:ascii="Arial" w:eastAsia="Calibri" w:hAnsi="Arial" w:cs="Arial"/>
          <w:spacing w:val="-1"/>
          <w:sz w:val="17"/>
          <w:szCs w:val="17"/>
        </w:rPr>
      </w:pPr>
    </w:p>
    <w:p w:rsidR="006E15EE" w:rsidRDefault="006E15EE" w:rsidP="006E15E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E15EE" w:rsidRPr="002D70DA" w:rsidRDefault="006E15EE" w:rsidP="006E15E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E1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15EE" w:rsidRPr="002D70DA" w:rsidRDefault="006E15EE"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15EE"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15EE"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2467C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467C7" w:rsidRPr="006C5E04" w:rsidRDefault="002467C7" w:rsidP="002467C7">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2467C7" w:rsidRPr="006E15EE" w:rsidRDefault="002467C7" w:rsidP="002467C7">
            <w:pPr>
              <w:jc w:val="right"/>
              <w:rPr>
                <w:rFonts w:ascii="Arial" w:hAnsi="Arial" w:cs="Arial"/>
                <w:b/>
                <w:sz w:val="17"/>
                <w:szCs w:val="17"/>
              </w:rPr>
            </w:pPr>
            <w:r w:rsidRPr="006E15EE">
              <w:rPr>
                <w:rFonts w:ascii="Arial" w:hAnsi="Arial" w:cs="Arial"/>
                <w:b/>
                <w:sz w:val="17"/>
                <w:szCs w:val="17"/>
              </w:rPr>
              <w:t>32,397,074</w:t>
            </w:r>
          </w:p>
        </w:tc>
        <w:tc>
          <w:tcPr>
            <w:tcW w:w="2180" w:type="dxa"/>
            <w:tcBorders>
              <w:top w:val="single" w:sz="4" w:space="0" w:color="auto"/>
              <w:left w:val="nil"/>
              <w:bottom w:val="single" w:sz="4" w:space="0" w:color="auto"/>
              <w:right w:val="single" w:sz="4" w:space="0" w:color="auto"/>
            </w:tcBorders>
            <w:shd w:val="clear" w:color="auto" w:fill="auto"/>
          </w:tcPr>
          <w:p w:rsidR="002467C7" w:rsidRPr="006E15EE" w:rsidRDefault="002467C7" w:rsidP="002467C7">
            <w:pPr>
              <w:jc w:val="right"/>
              <w:rPr>
                <w:rFonts w:ascii="Arial" w:hAnsi="Arial" w:cs="Arial"/>
                <w:b/>
                <w:sz w:val="17"/>
                <w:szCs w:val="17"/>
              </w:rPr>
            </w:pPr>
            <w:r w:rsidRPr="006E15EE">
              <w:rPr>
                <w:rFonts w:ascii="Arial" w:hAnsi="Arial" w:cs="Arial"/>
                <w:b/>
                <w:sz w:val="17"/>
                <w:szCs w:val="17"/>
              </w:rPr>
              <w:t>32,397,074</w:t>
            </w:r>
          </w:p>
        </w:tc>
      </w:tr>
      <w:tr w:rsidR="002467C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467C7" w:rsidRPr="006C5E04" w:rsidRDefault="002467C7" w:rsidP="002467C7">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2467C7" w:rsidRPr="006E15EE" w:rsidRDefault="002467C7" w:rsidP="002467C7">
            <w:pPr>
              <w:jc w:val="right"/>
              <w:rPr>
                <w:rFonts w:ascii="Arial" w:hAnsi="Arial" w:cs="Arial"/>
                <w:b/>
                <w:sz w:val="17"/>
                <w:szCs w:val="17"/>
              </w:rPr>
            </w:pPr>
            <w:r>
              <w:rPr>
                <w:rFonts w:ascii="Arial" w:hAnsi="Arial" w:cs="Arial"/>
                <w:b/>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2467C7" w:rsidRPr="006E15EE" w:rsidRDefault="002467C7" w:rsidP="002467C7">
            <w:pPr>
              <w:jc w:val="right"/>
              <w:rPr>
                <w:rFonts w:ascii="Arial" w:hAnsi="Arial" w:cs="Arial"/>
                <w:b/>
                <w:sz w:val="17"/>
                <w:szCs w:val="17"/>
              </w:rPr>
            </w:pPr>
            <w:r w:rsidRPr="006E15EE">
              <w:rPr>
                <w:rFonts w:ascii="Arial" w:hAnsi="Arial" w:cs="Arial"/>
                <w:b/>
                <w:sz w:val="17"/>
                <w:szCs w:val="17"/>
              </w:rPr>
              <w:t>62,280</w:t>
            </w:r>
          </w:p>
        </w:tc>
      </w:tr>
      <w:tr w:rsidR="002467C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467C7" w:rsidRPr="009D4479" w:rsidRDefault="002467C7" w:rsidP="002467C7">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2467C7" w:rsidRPr="006E15EE" w:rsidRDefault="002467C7" w:rsidP="002467C7">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2467C7" w:rsidRPr="006E15EE" w:rsidRDefault="002467C7" w:rsidP="002467C7">
            <w:pPr>
              <w:jc w:val="right"/>
              <w:rPr>
                <w:rFonts w:ascii="Arial" w:hAnsi="Arial" w:cs="Arial"/>
                <w:sz w:val="17"/>
                <w:szCs w:val="17"/>
              </w:rPr>
            </w:pPr>
            <w:r w:rsidRPr="006E15EE">
              <w:rPr>
                <w:rFonts w:ascii="Arial" w:hAnsi="Arial" w:cs="Arial"/>
                <w:sz w:val="17"/>
                <w:szCs w:val="17"/>
              </w:rPr>
              <w:t>62,280</w:t>
            </w:r>
          </w:p>
        </w:tc>
      </w:tr>
      <w:tr w:rsidR="002467C7"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2467C7" w:rsidRPr="002D70DA" w:rsidRDefault="002467C7" w:rsidP="002467C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2467C7" w:rsidRPr="005B5FB9" w:rsidRDefault="002467C7" w:rsidP="002467C7">
            <w:pPr>
              <w:jc w:val="right"/>
              <w:rPr>
                <w:rFonts w:ascii="Arial" w:hAnsi="Arial" w:cs="Arial"/>
                <w:b/>
                <w:bCs/>
                <w:color w:val="000000"/>
                <w:sz w:val="17"/>
                <w:szCs w:val="17"/>
                <w14:numForm w14:val="lining"/>
              </w:rPr>
            </w:pPr>
            <w:r w:rsidRPr="002467C7">
              <w:rPr>
                <w:rFonts w:ascii="Arial" w:hAnsi="Arial" w:cs="Arial"/>
                <w:b/>
                <w:bCs/>
                <w:color w:val="000000"/>
                <w:sz w:val="17"/>
                <w:szCs w:val="17"/>
                <w14:numForm w14:val="lining"/>
              </w:rPr>
              <w:t>32,397,074</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467C7" w:rsidRPr="005B5FB9" w:rsidRDefault="002467C7" w:rsidP="002467C7">
            <w:pPr>
              <w:jc w:val="right"/>
              <w:rPr>
                <w:rFonts w:ascii="Arial" w:hAnsi="Arial" w:cs="Arial"/>
                <w:b/>
                <w:bCs/>
                <w:color w:val="000000"/>
                <w:sz w:val="17"/>
                <w:szCs w:val="17"/>
                <w14:numForm w14:val="lining"/>
              </w:rPr>
            </w:pPr>
            <w:r w:rsidRPr="006E15EE">
              <w:rPr>
                <w:rFonts w:ascii="Arial" w:hAnsi="Arial" w:cs="Arial"/>
                <w:b/>
                <w:bCs/>
                <w:color w:val="000000"/>
                <w:sz w:val="17"/>
                <w:szCs w:val="17"/>
                <w14:numForm w14:val="lining"/>
              </w:rPr>
              <w:t>32,459,354</w:t>
            </w:r>
          </w:p>
        </w:tc>
      </w:tr>
    </w:tbl>
    <w:p w:rsidR="00AC18F1" w:rsidRDefault="00AC18F1" w:rsidP="00E856ED">
      <w:pPr>
        <w:spacing w:before="80" w:line="250" w:lineRule="exact"/>
        <w:ind w:left="709"/>
        <w:jc w:val="both"/>
        <w:rPr>
          <w:rFonts w:ascii="Arial" w:eastAsia="Calibri" w:hAnsi="Arial" w:cs="Arial"/>
          <w:spacing w:val="-1"/>
          <w:sz w:val="17"/>
          <w:szCs w:val="17"/>
        </w:rPr>
      </w:pPr>
    </w:p>
    <w:p w:rsidR="0036788B" w:rsidRDefault="0036788B" w:rsidP="0036788B">
      <w:pPr>
        <w:autoSpaceDE w:val="0"/>
        <w:autoSpaceDN w:val="0"/>
        <w:adjustRightInd w:val="0"/>
        <w:spacing w:before="240" w:after="120"/>
        <w:ind w:left="709"/>
        <w:jc w:val="both"/>
        <w:rPr>
          <w:rFonts w:ascii="Arial" w:eastAsia="Calibri" w:hAnsi="Arial" w:cs="Arial"/>
          <w:spacing w:val="-1"/>
          <w:sz w:val="17"/>
          <w:szCs w:val="17"/>
        </w:rPr>
      </w:pPr>
      <w:r>
        <w:rPr>
          <w:rFonts w:ascii="Arial" w:eastAsia="Calibri" w:hAnsi="Arial" w:cs="Arial"/>
          <w:spacing w:val="-1"/>
          <w:sz w:val="17"/>
          <w:szCs w:val="17"/>
        </w:rPr>
        <w:t xml:space="preserve">En lo que respecta al saldo reportado al </w:t>
      </w:r>
      <w:r w:rsidRPr="0036788B">
        <w:rPr>
          <w:rFonts w:ascii="Arial" w:eastAsia="Calibri" w:hAnsi="Arial" w:cs="Arial"/>
          <w:spacing w:val="-1"/>
          <w:sz w:val="17"/>
          <w:szCs w:val="17"/>
        </w:rPr>
        <w:t xml:space="preserve">31 de diciembre del </w:t>
      </w:r>
      <w:r w:rsidR="00582811">
        <w:rPr>
          <w:rFonts w:ascii="Arial" w:eastAsia="Calibri" w:hAnsi="Arial" w:cs="Arial"/>
          <w:spacing w:val="-1"/>
          <w:sz w:val="17"/>
          <w:szCs w:val="17"/>
        </w:rPr>
        <w:t>2017</w:t>
      </w:r>
      <w:r w:rsidRPr="0036788B">
        <w:rPr>
          <w:rFonts w:ascii="Arial" w:eastAsia="Calibri" w:hAnsi="Arial" w:cs="Arial"/>
          <w:spacing w:val="-1"/>
          <w:sz w:val="17"/>
          <w:szCs w:val="17"/>
        </w:rPr>
        <w:t xml:space="preserve"> de la cuenta Otros Derechos a Recibir Efectiv</w:t>
      </w:r>
      <w:r>
        <w:rPr>
          <w:rFonts w:ascii="Arial" w:eastAsia="Calibri" w:hAnsi="Arial" w:cs="Arial"/>
          <w:spacing w:val="-1"/>
          <w:sz w:val="17"/>
          <w:szCs w:val="17"/>
        </w:rPr>
        <w:t xml:space="preserve">o o Equivalentes a Largo Plazo por parte del Poder Ejecutivo, se informa que esta cuenta no </w:t>
      </w:r>
      <w:r w:rsidRPr="0036788B">
        <w:rPr>
          <w:rFonts w:ascii="Arial" w:eastAsia="Calibri" w:hAnsi="Arial" w:cs="Arial"/>
          <w:spacing w:val="-1"/>
          <w:sz w:val="17"/>
          <w:szCs w:val="17"/>
        </w:rPr>
        <w:t>ha sufrido modificación toda vez que sigue vigente la cuenta por cobrar al Instituto de la Vivienda del Estado de Querétaro por un monto total de 32,397,074</w:t>
      </w:r>
    </w:p>
    <w:p w:rsidR="00DC6176" w:rsidRDefault="00DC6176" w:rsidP="0036788B">
      <w:pPr>
        <w:autoSpaceDE w:val="0"/>
        <w:autoSpaceDN w:val="0"/>
        <w:adjustRightInd w:val="0"/>
        <w:spacing w:before="240" w:after="120"/>
        <w:ind w:left="709"/>
        <w:jc w:val="both"/>
        <w:rPr>
          <w:rFonts w:ascii="Arial" w:eastAsia="Calibri" w:hAnsi="Arial" w:cs="Arial"/>
          <w:spacing w:val="-1"/>
          <w:sz w:val="17"/>
          <w:szCs w:val="17"/>
        </w:rPr>
      </w:pPr>
    </w:p>
    <w:p w:rsidR="00DC6176" w:rsidRDefault="00DC6176" w:rsidP="0036788B">
      <w:pPr>
        <w:autoSpaceDE w:val="0"/>
        <w:autoSpaceDN w:val="0"/>
        <w:adjustRightInd w:val="0"/>
        <w:spacing w:before="240" w:after="120"/>
        <w:ind w:left="709"/>
        <w:jc w:val="both"/>
        <w:rPr>
          <w:rFonts w:ascii="Arial" w:eastAsia="Calibri" w:hAnsi="Arial" w:cs="Arial"/>
          <w:spacing w:val="-1"/>
          <w:sz w:val="17"/>
          <w:szCs w:val="17"/>
        </w:rPr>
      </w:pPr>
    </w:p>
    <w:p w:rsidR="00DC6176" w:rsidRDefault="00DC6176" w:rsidP="0036788B">
      <w:pPr>
        <w:autoSpaceDE w:val="0"/>
        <w:autoSpaceDN w:val="0"/>
        <w:adjustRightInd w:val="0"/>
        <w:spacing w:before="240" w:after="120"/>
        <w:ind w:left="709"/>
        <w:jc w:val="both"/>
        <w:rPr>
          <w:rFonts w:ascii="Arial" w:eastAsia="Calibri" w:hAnsi="Arial" w:cs="Arial"/>
          <w:spacing w:val="-1"/>
          <w:sz w:val="17"/>
          <w:szCs w:val="17"/>
        </w:rPr>
      </w:pPr>
    </w:p>
    <w:p w:rsidR="00DC6176" w:rsidRDefault="00DC6176" w:rsidP="0036788B">
      <w:pPr>
        <w:autoSpaceDE w:val="0"/>
        <w:autoSpaceDN w:val="0"/>
        <w:adjustRightInd w:val="0"/>
        <w:spacing w:before="240" w:after="120"/>
        <w:ind w:left="709"/>
        <w:jc w:val="both"/>
        <w:rPr>
          <w:rFonts w:ascii="Arial" w:eastAsia="Calibri" w:hAnsi="Arial" w:cs="Arial"/>
          <w:spacing w:val="-1"/>
          <w:sz w:val="17"/>
          <w:szCs w:val="17"/>
        </w:rPr>
      </w:pPr>
    </w:p>
    <w:p w:rsidR="00DC6176" w:rsidRDefault="00DC6176" w:rsidP="0036788B">
      <w:pPr>
        <w:autoSpaceDE w:val="0"/>
        <w:autoSpaceDN w:val="0"/>
        <w:adjustRightInd w:val="0"/>
        <w:spacing w:before="240" w:after="120"/>
        <w:ind w:left="709"/>
        <w:jc w:val="both"/>
        <w:rPr>
          <w:rFonts w:ascii="Arial" w:eastAsia="Calibri" w:hAnsi="Arial" w:cs="Arial"/>
          <w:spacing w:val="-1"/>
          <w:sz w:val="17"/>
          <w:szCs w:val="17"/>
        </w:rPr>
      </w:pPr>
    </w:p>
    <w:p w:rsidR="00DC6176" w:rsidRDefault="00DC6176" w:rsidP="0036788B">
      <w:pPr>
        <w:autoSpaceDE w:val="0"/>
        <w:autoSpaceDN w:val="0"/>
        <w:adjustRightInd w:val="0"/>
        <w:spacing w:before="240" w:after="120"/>
        <w:ind w:left="709"/>
        <w:jc w:val="both"/>
        <w:rPr>
          <w:rFonts w:ascii="Arial" w:eastAsia="Calibri" w:hAnsi="Arial" w:cs="Arial"/>
          <w:spacing w:val="-1"/>
          <w:sz w:val="17"/>
          <w:szCs w:val="17"/>
        </w:rPr>
      </w:pPr>
    </w:p>
    <w:p w:rsidR="00DC6176" w:rsidRDefault="00DC6176" w:rsidP="0036788B">
      <w:pPr>
        <w:autoSpaceDE w:val="0"/>
        <w:autoSpaceDN w:val="0"/>
        <w:adjustRightInd w:val="0"/>
        <w:spacing w:before="240" w:after="120"/>
        <w:ind w:left="709"/>
        <w:jc w:val="both"/>
        <w:rPr>
          <w:rFonts w:ascii="Arial" w:eastAsia="Calibri" w:hAnsi="Arial" w:cs="Arial"/>
          <w:spacing w:val="-1"/>
          <w:sz w:val="17"/>
          <w:szCs w:val="17"/>
        </w:rPr>
      </w:pPr>
    </w:p>
    <w:p w:rsidR="00DC6176" w:rsidRDefault="00DC6176" w:rsidP="0036788B">
      <w:pPr>
        <w:autoSpaceDE w:val="0"/>
        <w:autoSpaceDN w:val="0"/>
        <w:adjustRightInd w:val="0"/>
        <w:spacing w:before="240" w:after="120"/>
        <w:ind w:left="709"/>
        <w:jc w:val="both"/>
        <w:rPr>
          <w:rFonts w:ascii="Arial" w:eastAsia="Calibri" w:hAnsi="Arial" w:cs="Arial"/>
          <w:spacing w:val="-1"/>
          <w:sz w:val="17"/>
          <w:szCs w:val="17"/>
        </w:rPr>
      </w:pPr>
    </w:p>
    <w:p w:rsidR="00DC6176" w:rsidRDefault="00DC6176" w:rsidP="0036788B">
      <w:pPr>
        <w:autoSpaceDE w:val="0"/>
        <w:autoSpaceDN w:val="0"/>
        <w:adjustRightInd w:val="0"/>
        <w:spacing w:before="240" w:after="120"/>
        <w:ind w:left="709"/>
        <w:jc w:val="both"/>
        <w:rPr>
          <w:rFonts w:ascii="Arial" w:eastAsia="Calibri" w:hAnsi="Arial" w:cs="Arial"/>
          <w:spacing w:val="-1"/>
          <w:sz w:val="17"/>
          <w:szCs w:val="17"/>
        </w:rPr>
      </w:pPr>
    </w:p>
    <w:p w:rsidR="006335BE" w:rsidRPr="0036788B" w:rsidRDefault="006335BE" w:rsidP="00812398">
      <w:pPr>
        <w:pStyle w:val="Prrafodelista"/>
        <w:numPr>
          <w:ilvl w:val="0"/>
          <w:numId w:val="8"/>
        </w:numPr>
        <w:autoSpaceDE w:val="0"/>
        <w:autoSpaceDN w:val="0"/>
        <w:adjustRightInd w:val="0"/>
        <w:spacing w:before="240" w:after="120"/>
        <w:jc w:val="both"/>
        <w:rPr>
          <w:rFonts w:ascii="Arial" w:eastAsia="Calibri" w:hAnsi="Arial" w:cs="Arial"/>
          <w:b/>
          <w:spacing w:val="-1"/>
          <w:sz w:val="17"/>
          <w:szCs w:val="17"/>
        </w:rPr>
      </w:pPr>
      <w:r w:rsidRPr="0036788B">
        <w:rPr>
          <w:rFonts w:ascii="Arial" w:eastAsia="Calibri" w:hAnsi="Arial" w:cs="Arial"/>
          <w:b/>
          <w:spacing w:val="-1"/>
          <w:sz w:val="17"/>
          <w:szCs w:val="17"/>
        </w:rPr>
        <w:lastRenderedPageBreak/>
        <w:t xml:space="preserve">Bienes </w:t>
      </w:r>
      <w:r w:rsidR="008E1BD8" w:rsidRPr="0036788B">
        <w:rPr>
          <w:rFonts w:ascii="Arial" w:eastAsia="Calibri" w:hAnsi="Arial" w:cs="Arial"/>
          <w:b/>
          <w:spacing w:val="-1"/>
          <w:sz w:val="17"/>
          <w:szCs w:val="17"/>
        </w:rPr>
        <w:t>m</w:t>
      </w:r>
      <w:r w:rsidRPr="0036788B">
        <w:rPr>
          <w:rFonts w:ascii="Arial" w:eastAsia="Calibri" w:hAnsi="Arial" w:cs="Arial"/>
          <w:b/>
          <w:spacing w:val="-1"/>
          <w:sz w:val="17"/>
          <w:szCs w:val="17"/>
        </w:rPr>
        <w:t xml:space="preserve">uebles, </w:t>
      </w:r>
      <w:r w:rsidR="008E1BD8" w:rsidRPr="0036788B">
        <w:rPr>
          <w:rFonts w:ascii="Arial" w:eastAsia="Calibri" w:hAnsi="Arial" w:cs="Arial"/>
          <w:b/>
          <w:spacing w:val="-1"/>
          <w:sz w:val="17"/>
          <w:szCs w:val="17"/>
        </w:rPr>
        <w:t>i</w:t>
      </w:r>
      <w:r w:rsidRPr="0036788B">
        <w:rPr>
          <w:rFonts w:ascii="Arial" w:eastAsia="Calibri" w:hAnsi="Arial" w:cs="Arial"/>
          <w:b/>
          <w:spacing w:val="-1"/>
          <w:sz w:val="17"/>
          <w:szCs w:val="17"/>
        </w:rPr>
        <w:t xml:space="preserve">nmuebles e </w:t>
      </w:r>
      <w:r w:rsidR="008E1BD8" w:rsidRPr="0036788B">
        <w:rPr>
          <w:rFonts w:ascii="Arial" w:eastAsia="Calibri" w:hAnsi="Arial" w:cs="Arial"/>
          <w:b/>
          <w:spacing w:val="-1"/>
          <w:sz w:val="17"/>
          <w:szCs w:val="17"/>
        </w:rPr>
        <w:t>i</w:t>
      </w:r>
      <w:r w:rsidRPr="0036788B">
        <w:rPr>
          <w:rFonts w:ascii="Arial" w:eastAsia="Calibri" w:hAnsi="Arial" w:cs="Arial"/>
          <w:b/>
          <w:spacing w:val="-1"/>
          <w:sz w:val="17"/>
          <w:szCs w:val="17"/>
        </w:rPr>
        <w:t>ntangibles</w:t>
      </w:r>
    </w:p>
    <w:p w:rsidR="00065FBC" w:rsidRPr="00065FBC" w:rsidRDefault="00065FBC" w:rsidP="001253A5">
      <w:pPr>
        <w:autoSpaceDE w:val="0"/>
        <w:autoSpaceDN w:val="0"/>
        <w:adjustRightInd w:val="0"/>
        <w:spacing w:before="240" w:after="120"/>
        <w:ind w:left="709"/>
        <w:rPr>
          <w:rFonts w:ascii="Arial" w:eastAsia="Calibri" w:hAnsi="Arial" w:cs="Arial"/>
          <w:spacing w:val="-1"/>
          <w:sz w:val="17"/>
          <w:szCs w:val="17"/>
        </w:rPr>
      </w:pPr>
      <w:r w:rsidRPr="00065FBC">
        <w:rPr>
          <w:rFonts w:ascii="Arial" w:eastAsia="Calibri" w:hAnsi="Arial" w:cs="Arial"/>
          <w:spacing w:val="-1"/>
          <w:sz w:val="17"/>
          <w:szCs w:val="17"/>
        </w:rPr>
        <w:t>Se informa del rubro de Bienes Inmuebles, Infraestructura y Construcciones en Proceso, el monto al 31 de diciembre del 2017</w:t>
      </w:r>
      <w:r>
        <w:rPr>
          <w:rFonts w:ascii="Arial" w:eastAsia="Calibri" w:hAnsi="Arial" w:cs="Arial"/>
          <w:spacing w:val="-1"/>
          <w:sz w:val="17"/>
          <w:szCs w:val="17"/>
        </w:rPr>
        <w:t>, el</w:t>
      </w:r>
      <w:r w:rsidRPr="00065FBC">
        <w:rPr>
          <w:rFonts w:ascii="Arial" w:eastAsia="Calibri" w:hAnsi="Arial" w:cs="Arial"/>
          <w:spacing w:val="-1"/>
          <w:sz w:val="17"/>
          <w:szCs w:val="17"/>
        </w:rPr>
        <w:t xml:space="preserve"> cual está distribuido de la siguiente manera:</w:t>
      </w:r>
    </w:p>
    <w:p w:rsidR="00065FBC" w:rsidRPr="001253A5" w:rsidRDefault="00065FBC" w:rsidP="001253A5">
      <w:pPr>
        <w:autoSpaceDE w:val="0"/>
        <w:autoSpaceDN w:val="0"/>
        <w:adjustRightInd w:val="0"/>
        <w:spacing w:before="240" w:after="120"/>
        <w:jc w:val="center"/>
        <w:rPr>
          <w:rFonts w:ascii="Arial" w:eastAsia="Calibri" w:hAnsi="Arial" w:cs="Arial"/>
          <w:b/>
          <w:spacing w:val="-1"/>
          <w:sz w:val="17"/>
          <w:szCs w:val="17"/>
        </w:rPr>
      </w:pPr>
      <w:r w:rsidRPr="001253A5">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65FBC"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65FBC" w:rsidRPr="002D70DA" w:rsidRDefault="00065FBC" w:rsidP="009915A4">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65FBC" w:rsidRPr="002D70DA" w:rsidRDefault="00065FBC" w:rsidP="009915A4">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65FBC" w:rsidRPr="002D70DA" w:rsidRDefault="00065FBC" w:rsidP="009915A4">
            <w:pPr>
              <w:jc w:val="center"/>
              <w:rPr>
                <w:rFonts w:ascii="Arial" w:hAnsi="Arial" w:cs="Arial"/>
                <w:b/>
                <w:bCs/>
                <w:color w:val="000000"/>
                <w:sz w:val="17"/>
                <w:szCs w:val="17"/>
              </w:rPr>
            </w:pPr>
            <w:r>
              <w:rPr>
                <w:rFonts w:ascii="Arial" w:hAnsi="Arial" w:cs="Arial"/>
                <w:b/>
                <w:bCs/>
                <w:color w:val="000000"/>
                <w:sz w:val="17"/>
                <w:szCs w:val="17"/>
              </w:rPr>
              <w:t>2016</w:t>
            </w:r>
          </w:p>
        </w:tc>
      </w:tr>
      <w:tr w:rsidR="00065FBC"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6C5E04" w:rsidRDefault="00065FBC" w:rsidP="00065FBC">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b/>
                <w:sz w:val="17"/>
                <w:szCs w:val="17"/>
              </w:rPr>
            </w:pPr>
            <w:r w:rsidRPr="00065FBC">
              <w:rPr>
                <w:rFonts w:ascii="Arial" w:hAnsi="Arial" w:cs="Arial"/>
                <w:b/>
                <w:sz w:val="17"/>
                <w:szCs w:val="17"/>
              </w:rPr>
              <w:t>11,319,860,268</w:t>
            </w:r>
          </w:p>
        </w:tc>
        <w:tc>
          <w:tcPr>
            <w:tcW w:w="2180" w:type="dxa"/>
            <w:tcBorders>
              <w:top w:val="single" w:sz="4" w:space="0" w:color="auto"/>
              <w:left w:val="nil"/>
              <w:bottom w:val="single" w:sz="4" w:space="0" w:color="auto"/>
              <w:right w:val="single" w:sz="4" w:space="0" w:color="auto"/>
            </w:tcBorders>
            <w:shd w:val="clear" w:color="auto" w:fill="auto"/>
          </w:tcPr>
          <w:p w:rsidR="00065FBC" w:rsidRPr="008304DC" w:rsidRDefault="00065FBC" w:rsidP="00065FBC">
            <w:pPr>
              <w:jc w:val="right"/>
              <w:rPr>
                <w:rFonts w:ascii="Arial" w:hAnsi="Arial" w:cs="Arial"/>
                <w:b/>
                <w:sz w:val="17"/>
                <w:szCs w:val="17"/>
              </w:rPr>
            </w:pPr>
            <w:r w:rsidRPr="008304DC">
              <w:rPr>
                <w:rFonts w:ascii="Arial" w:hAnsi="Arial" w:cs="Arial"/>
                <w:b/>
                <w:sz w:val="17"/>
                <w:szCs w:val="17"/>
              </w:rPr>
              <w:t>6,189,764,147</w:t>
            </w:r>
          </w:p>
        </w:tc>
      </w:tr>
      <w:tr w:rsidR="00065FBC"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6C5E04" w:rsidRDefault="00065FBC" w:rsidP="00065FBC">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b/>
                <w:sz w:val="17"/>
                <w:szCs w:val="17"/>
              </w:rPr>
            </w:pPr>
            <w:r w:rsidRPr="00065FBC">
              <w:rPr>
                <w:rFonts w:ascii="Arial" w:hAnsi="Arial" w:cs="Arial"/>
                <w:b/>
                <w:sz w:val="17"/>
                <w:szCs w:val="17"/>
              </w:rPr>
              <w:t>12,713,348</w:t>
            </w:r>
          </w:p>
        </w:tc>
        <w:tc>
          <w:tcPr>
            <w:tcW w:w="2180" w:type="dxa"/>
            <w:tcBorders>
              <w:top w:val="single" w:sz="4" w:space="0" w:color="auto"/>
              <w:left w:val="nil"/>
              <w:bottom w:val="single" w:sz="4" w:space="0" w:color="auto"/>
              <w:right w:val="single" w:sz="4" w:space="0" w:color="auto"/>
            </w:tcBorders>
            <w:shd w:val="clear" w:color="auto" w:fill="auto"/>
          </w:tcPr>
          <w:p w:rsidR="00065FBC" w:rsidRPr="008304DC" w:rsidRDefault="00065FBC" w:rsidP="00065FBC">
            <w:pPr>
              <w:jc w:val="right"/>
              <w:rPr>
                <w:rFonts w:ascii="Arial" w:hAnsi="Arial" w:cs="Arial"/>
                <w:b/>
                <w:sz w:val="17"/>
                <w:szCs w:val="17"/>
              </w:rPr>
            </w:pPr>
            <w:r w:rsidRPr="008304DC">
              <w:rPr>
                <w:rFonts w:ascii="Arial" w:hAnsi="Arial" w:cs="Arial"/>
                <w:b/>
                <w:sz w:val="17"/>
                <w:szCs w:val="17"/>
              </w:rPr>
              <w:t>22,019,218</w:t>
            </w:r>
          </w:p>
        </w:tc>
      </w:tr>
      <w:tr w:rsidR="00065FBC"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6C5E04" w:rsidRDefault="00065FBC" w:rsidP="00065FBC">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b/>
                <w:sz w:val="17"/>
                <w:szCs w:val="17"/>
              </w:rPr>
            </w:pPr>
            <w:r w:rsidRPr="00065FBC">
              <w:rPr>
                <w:rFonts w:ascii="Arial" w:hAnsi="Arial" w:cs="Arial"/>
                <w:b/>
                <w:sz w:val="17"/>
                <w:szCs w:val="17"/>
              </w:rPr>
              <w:t>209,648,071</w:t>
            </w:r>
          </w:p>
        </w:tc>
        <w:tc>
          <w:tcPr>
            <w:tcW w:w="2180" w:type="dxa"/>
            <w:tcBorders>
              <w:top w:val="single" w:sz="4" w:space="0" w:color="auto"/>
              <w:left w:val="nil"/>
              <w:bottom w:val="single" w:sz="4" w:space="0" w:color="auto"/>
              <w:right w:val="single" w:sz="4" w:space="0" w:color="auto"/>
            </w:tcBorders>
            <w:shd w:val="clear" w:color="auto" w:fill="auto"/>
          </w:tcPr>
          <w:p w:rsidR="00065FBC" w:rsidRPr="008304DC" w:rsidRDefault="00065FBC" w:rsidP="00065FBC">
            <w:pPr>
              <w:jc w:val="right"/>
              <w:rPr>
                <w:rFonts w:ascii="Arial" w:hAnsi="Arial" w:cs="Arial"/>
                <w:b/>
                <w:sz w:val="17"/>
                <w:szCs w:val="17"/>
              </w:rPr>
            </w:pPr>
            <w:r w:rsidRPr="008304DC">
              <w:rPr>
                <w:rFonts w:ascii="Arial" w:hAnsi="Arial" w:cs="Arial"/>
                <w:b/>
                <w:sz w:val="17"/>
                <w:szCs w:val="17"/>
              </w:rPr>
              <w:t>209,648,071</w:t>
            </w:r>
          </w:p>
        </w:tc>
      </w:tr>
      <w:tr w:rsidR="00065FBC"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6C5E04" w:rsidRDefault="00065FBC" w:rsidP="00065FBC">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065FBC" w:rsidRPr="008304DC" w:rsidRDefault="00065FBC" w:rsidP="00065FBC">
            <w:pPr>
              <w:jc w:val="right"/>
              <w:rPr>
                <w:rFonts w:ascii="Arial" w:hAnsi="Arial" w:cs="Arial"/>
                <w:b/>
                <w:sz w:val="17"/>
                <w:szCs w:val="17"/>
              </w:rPr>
            </w:pPr>
            <w:r>
              <w:rPr>
                <w:rFonts w:ascii="Arial" w:hAnsi="Arial" w:cs="Arial"/>
                <w:b/>
                <w:sz w:val="17"/>
                <w:szCs w:val="17"/>
              </w:rPr>
              <w:t>15,577,455</w:t>
            </w:r>
          </w:p>
        </w:tc>
        <w:tc>
          <w:tcPr>
            <w:tcW w:w="2180" w:type="dxa"/>
            <w:tcBorders>
              <w:top w:val="single" w:sz="4" w:space="0" w:color="auto"/>
              <w:left w:val="nil"/>
              <w:bottom w:val="single" w:sz="4" w:space="0" w:color="auto"/>
              <w:right w:val="single" w:sz="4" w:space="0" w:color="auto"/>
            </w:tcBorders>
            <w:shd w:val="clear" w:color="auto" w:fill="auto"/>
          </w:tcPr>
          <w:p w:rsidR="00065FBC" w:rsidRPr="008304DC" w:rsidRDefault="00065FBC" w:rsidP="00065FBC">
            <w:pPr>
              <w:jc w:val="right"/>
              <w:rPr>
                <w:rFonts w:ascii="Arial" w:hAnsi="Arial" w:cs="Arial"/>
                <w:b/>
                <w:sz w:val="17"/>
                <w:szCs w:val="17"/>
              </w:rPr>
            </w:pPr>
            <w:r w:rsidRPr="008304DC">
              <w:rPr>
                <w:rFonts w:ascii="Arial" w:hAnsi="Arial" w:cs="Arial"/>
                <w:b/>
                <w:sz w:val="17"/>
                <w:szCs w:val="17"/>
              </w:rPr>
              <w:t>13,358,051</w:t>
            </w:r>
          </w:p>
        </w:tc>
      </w:tr>
      <w:tr w:rsidR="00065FBC"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9D4479" w:rsidRDefault="00065FBC" w:rsidP="00065FBC">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65FBC" w:rsidRPr="008304DC" w:rsidRDefault="00065FBC" w:rsidP="00065FBC">
            <w:pPr>
              <w:jc w:val="right"/>
              <w:rPr>
                <w:rFonts w:ascii="Arial" w:hAnsi="Arial" w:cs="Arial"/>
                <w:sz w:val="17"/>
                <w:szCs w:val="17"/>
              </w:rPr>
            </w:pPr>
            <w:r w:rsidRPr="00065FBC">
              <w:rPr>
                <w:rFonts w:ascii="Arial" w:hAnsi="Arial" w:cs="Arial"/>
                <w:sz w:val="17"/>
                <w:szCs w:val="17"/>
              </w:rPr>
              <w:t>865,882</w:t>
            </w:r>
          </w:p>
        </w:tc>
        <w:tc>
          <w:tcPr>
            <w:tcW w:w="2180" w:type="dxa"/>
            <w:tcBorders>
              <w:top w:val="single" w:sz="4" w:space="0" w:color="auto"/>
              <w:left w:val="nil"/>
              <w:bottom w:val="single" w:sz="4" w:space="0" w:color="auto"/>
              <w:right w:val="single" w:sz="4" w:space="0" w:color="auto"/>
            </w:tcBorders>
            <w:shd w:val="clear" w:color="auto" w:fill="auto"/>
          </w:tcPr>
          <w:p w:rsidR="00065FBC" w:rsidRPr="008304DC" w:rsidRDefault="00065FBC" w:rsidP="00065FBC">
            <w:pPr>
              <w:jc w:val="right"/>
              <w:rPr>
                <w:rFonts w:ascii="Arial" w:hAnsi="Arial" w:cs="Arial"/>
                <w:sz w:val="17"/>
                <w:szCs w:val="17"/>
              </w:rPr>
            </w:pPr>
            <w:r w:rsidRPr="008304DC">
              <w:rPr>
                <w:rFonts w:ascii="Arial" w:hAnsi="Arial" w:cs="Arial"/>
                <w:sz w:val="17"/>
                <w:szCs w:val="17"/>
              </w:rPr>
              <w:t>841,213</w:t>
            </w:r>
          </w:p>
        </w:tc>
      </w:tr>
      <w:tr w:rsidR="00065FBC"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9D4479" w:rsidRDefault="00065FBC" w:rsidP="00065FBC">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65FBC" w:rsidRPr="008304DC" w:rsidRDefault="00065FBC" w:rsidP="00065FBC">
            <w:pPr>
              <w:jc w:val="right"/>
              <w:rPr>
                <w:rFonts w:ascii="Arial" w:hAnsi="Arial" w:cs="Arial"/>
                <w:sz w:val="17"/>
                <w:szCs w:val="17"/>
              </w:rPr>
            </w:pPr>
            <w:r w:rsidRPr="00065FBC">
              <w:rPr>
                <w:rFonts w:ascii="Arial" w:hAnsi="Arial" w:cs="Arial"/>
                <w:sz w:val="17"/>
                <w:szCs w:val="17"/>
              </w:rPr>
              <w:t>13,771,249</w:t>
            </w:r>
          </w:p>
        </w:tc>
        <w:tc>
          <w:tcPr>
            <w:tcW w:w="2180" w:type="dxa"/>
            <w:tcBorders>
              <w:top w:val="single" w:sz="4" w:space="0" w:color="auto"/>
              <w:left w:val="nil"/>
              <w:bottom w:val="single" w:sz="4" w:space="0" w:color="auto"/>
              <w:right w:val="single" w:sz="4" w:space="0" w:color="auto"/>
            </w:tcBorders>
            <w:shd w:val="clear" w:color="auto" w:fill="auto"/>
          </w:tcPr>
          <w:p w:rsidR="00065FBC" w:rsidRPr="008304DC" w:rsidRDefault="00065FBC" w:rsidP="00065FBC">
            <w:pPr>
              <w:jc w:val="right"/>
              <w:rPr>
                <w:rFonts w:ascii="Arial" w:hAnsi="Arial" w:cs="Arial"/>
                <w:sz w:val="17"/>
                <w:szCs w:val="17"/>
              </w:rPr>
            </w:pPr>
            <w:r w:rsidRPr="008304DC">
              <w:rPr>
                <w:rFonts w:ascii="Arial" w:hAnsi="Arial" w:cs="Arial"/>
                <w:sz w:val="17"/>
                <w:szCs w:val="17"/>
              </w:rPr>
              <w:t>12,516,838</w:t>
            </w:r>
          </w:p>
        </w:tc>
      </w:tr>
      <w:tr w:rsidR="00065FBC"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6C5E04" w:rsidRDefault="00065FBC" w:rsidP="00065FBC">
            <w:pPr>
              <w:ind w:left="709"/>
              <w:rPr>
                <w:rFonts w:ascii="Arial" w:hAnsi="Arial" w:cs="Arial"/>
                <w:sz w:val="17"/>
                <w:szCs w:val="17"/>
              </w:rPr>
            </w:pPr>
            <w:r w:rsidRPr="00065FBC">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sz w:val="17"/>
                <w:szCs w:val="17"/>
              </w:rPr>
            </w:pPr>
            <w:r w:rsidRPr="00065FBC">
              <w:rPr>
                <w:rFonts w:ascii="Arial" w:hAnsi="Arial" w:cs="Arial"/>
                <w:sz w:val="17"/>
                <w:szCs w:val="17"/>
              </w:rPr>
              <w:t>940,324</w:t>
            </w:r>
          </w:p>
        </w:tc>
        <w:tc>
          <w:tcPr>
            <w:tcW w:w="2180" w:type="dxa"/>
            <w:tcBorders>
              <w:top w:val="single" w:sz="4" w:space="0" w:color="auto"/>
              <w:left w:val="nil"/>
              <w:bottom w:val="single" w:sz="4" w:space="0" w:color="auto"/>
              <w:right w:val="single" w:sz="4" w:space="0" w:color="auto"/>
            </w:tcBorders>
            <w:shd w:val="clear" w:color="auto" w:fill="auto"/>
          </w:tcPr>
          <w:p w:rsidR="00065FBC" w:rsidRPr="008304DC" w:rsidRDefault="00065FBC" w:rsidP="00065FBC">
            <w:pPr>
              <w:jc w:val="right"/>
              <w:rPr>
                <w:rFonts w:ascii="Arial" w:hAnsi="Arial" w:cs="Arial"/>
                <w:sz w:val="17"/>
                <w:szCs w:val="17"/>
              </w:rPr>
            </w:pPr>
            <w:r>
              <w:rPr>
                <w:rFonts w:ascii="Arial" w:hAnsi="Arial" w:cs="Arial"/>
                <w:sz w:val="17"/>
                <w:szCs w:val="17"/>
              </w:rPr>
              <w:t>0</w:t>
            </w:r>
          </w:p>
        </w:tc>
      </w:tr>
      <w:tr w:rsidR="00065FBC" w:rsidRPr="002D70DA" w:rsidTr="009915A4">
        <w:trPr>
          <w:trHeight w:val="240"/>
          <w:jc w:val="center"/>
        </w:trPr>
        <w:tc>
          <w:tcPr>
            <w:tcW w:w="4900" w:type="dxa"/>
            <w:tcBorders>
              <w:top w:val="nil"/>
              <w:left w:val="nil"/>
              <w:bottom w:val="nil"/>
              <w:right w:val="single" w:sz="4" w:space="0" w:color="auto"/>
            </w:tcBorders>
            <w:shd w:val="clear" w:color="000000" w:fill="FFFFFF"/>
            <w:vAlign w:val="center"/>
            <w:hideMark/>
          </w:tcPr>
          <w:p w:rsidR="00065FBC" w:rsidRPr="002D70DA" w:rsidRDefault="00065FBC" w:rsidP="00065FB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065FBC" w:rsidRPr="005B5FB9" w:rsidRDefault="00065FBC" w:rsidP="00065FBC">
            <w:pPr>
              <w:jc w:val="right"/>
              <w:rPr>
                <w:rFonts w:ascii="Arial" w:hAnsi="Arial" w:cs="Arial"/>
                <w:b/>
                <w:bCs/>
                <w:color w:val="000000"/>
                <w:sz w:val="17"/>
                <w:szCs w:val="17"/>
                <w14:numForm w14:val="lining"/>
              </w:rPr>
            </w:pPr>
            <w:r w:rsidRPr="00065FBC">
              <w:rPr>
                <w:rFonts w:ascii="Arial" w:hAnsi="Arial" w:cs="Arial"/>
                <w:b/>
                <w:bCs/>
                <w:color w:val="000000"/>
                <w:sz w:val="17"/>
                <w:szCs w:val="17"/>
                <w14:numForm w14:val="lining"/>
              </w:rPr>
              <w:t>11,557,799,141</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65FBC" w:rsidRPr="005B5FB9" w:rsidRDefault="00065FBC" w:rsidP="00065FBC">
            <w:pPr>
              <w:jc w:val="right"/>
              <w:rPr>
                <w:rFonts w:ascii="Arial" w:hAnsi="Arial" w:cs="Arial"/>
                <w:b/>
                <w:bCs/>
                <w:color w:val="000000"/>
                <w:sz w:val="17"/>
                <w:szCs w:val="17"/>
                <w14:numForm w14:val="lining"/>
              </w:rPr>
            </w:pPr>
            <w:r w:rsidRPr="008304DC">
              <w:rPr>
                <w:rFonts w:ascii="Arial" w:hAnsi="Arial" w:cs="Arial"/>
                <w:b/>
                <w:bCs/>
                <w:color w:val="000000"/>
                <w:sz w:val="17"/>
                <w:szCs w:val="17"/>
                <w14:numForm w14:val="lining"/>
              </w:rPr>
              <w:t>6,434,789,487</w:t>
            </w:r>
          </w:p>
        </w:tc>
      </w:tr>
    </w:tbl>
    <w:p w:rsidR="00C023EB" w:rsidRDefault="00C023EB" w:rsidP="00C023EB">
      <w:pPr>
        <w:pStyle w:val="Prrafodelista"/>
        <w:spacing w:after="160" w:line="259" w:lineRule="auto"/>
        <w:rPr>
          <w:rFonts w:ascii="Arial" w:eastAsia="Calibri" w:hAnsi="Arial" w:cs="Arial"/>
          <w:spacing w:val="-1"/>
          <w:sz w:val="17"/>
          <w:szCs w:val="17"/>
        </w:rPr>
      </w:pPr>
    </w:p>
    <w:p w:rsidR="00C023EB" w:rsidRPr="009036C0" w:rsidRDefault="00C023EB" w:rsidP="00C023EB">
      <w:pPr>
        <w:pStyle w:val="Prrafodelista"/>
        <w:spacing w:after="160" w:line="259" w:lineRule="auto"/>
        <w:rPr>
          <w:rFonts w:ascii="Arial" w:eastAsia="Calibri" w:hAnsi="Arial" w:cs="Arial"/>
          <w:spacing w:val="-1"/>
          <w:sz w:val="17"/>
          <w:szCs w:val="17"/>
        </w:rPr>
      </w:pPr>
      <w:r w:rsidRPr="009036C0">
        <w:rPr>
          <w:rFonts w:ascii="Arial" w:eastAsia="Calibri" w:hAnsi="Arial" w:cs="Arial"/>
          <w:spacing w:val="-1"/>
          <w:sz w:val="17"/>
          <w:szCs w:val="17"/>
        </w:rPr>
        <w:t xml:space="preserve">El incremento en el rubro de Terrenos obedece principalmente a la incorporación por reclasificación de predios que se encontraban anteriormente clasificados como bienes en comodato y a la revaluación catastral de los bienes inmuebles. </w:t>
      </w:r>
      <w:r>
        <w:rPr>
          <w:rFonts w:ascii="Arial" w:eastAsia="Calibri" w:hAnsi="Arial" w:cs="Arial"/>
          <w:spacing w:val="-1"/>
          <w:sz w:val="17"/>
          <w:szCs w:val="17"/>
        </w:rPr>
        <w:t>Las notas particulares del Poder Ejecutivo referente a este rubro se encuentran en la Notas a los Estados Financieros del Tomo III de esta Cuenta Pública.</w:t>
      </w:r>
    </w:p>
    <w:p w:rsidR="00812B35" w:rsidRDefault="007F7800" w:rsidP="00812B35">
      <w:pPr>
        <w:autoSpaceDE w:val="0"/>
        <w:autoSpaceDN w:val="0"/>
        <w:adjustRightInd w:val="0"/>
        <w:spacing w:before="240" w:after="120"/>
        <w:ind w:left="709"/>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812B35">
        <w:rPr>
          <w:rFonts w:ascii="Arial" w:eastAsia="Calibri" w:hAnsi="Arial" w:cs="Arial"/>
          <w:spacing w:val="-1"/>
          <w:sz w:val="17"/>
          <w:szCs w:val="17"/>
        </w:rPr>
        <w:t>d</w:t>
      </w:r>
      <w:r w:rsidRPr="007F7800">
        <w:rPr>
          <w:rFonts w:ascii="Arial" w:eastAsia="Calibri" w:hAnsi="Arial" w:cs="Arial"/>
          <w:spacing w:val="-1"/>
          <w:sz w:val="17"/>
          <w:szCs w:val="17"/>
        </w:rPr>
        <w:t xml:space="preserve">el rubro de Bienes Muebles, el monto al 31 de diciembre del </w:t>
      </w:r>
      <w:r w:rsidR="00582811">
        <w:rPr>
          <w:rFonts w:ascii="Arial" w:eastAsia="Calibri" w:hAnsi="Arial" w:cs="Arial"/>
          <w:spacing w:val="-1"/>
          <w:sz w:val="17"/>
          <w:szCs w:val="17"/>
        </w:rPr>
        <w:t>2017</w:t>
      </w:r>
      <w:r w:rsidR="00812B35">
        <w:rPr>
          <w:rFonts w:ascii="Arial" w:eastAsia="Calibri" w:hAnsi="Arial" w:cs="Arial"/>
          <w:spacing w:val="-1"/>
          <w:sz w:val="17"/>
          <w:szCs w:val="17"/>
        </w:rPr>
        <w:t>, el cual está distribuido de la siguiente manera:</w:t>
      </w:r>
    </w:p>
    <w:p w:rsidR="006C5505" w:rsidRPr="002D70DA" w:rsidRDefault="006C5505"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50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505" w:rsidRPr="002D70DA" w:rsidRDefault="006C5505"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505"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505" w:rsidRPr="002D70DA" w:rsidRDefault="00582811"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065FBC"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6C5E04" w:rsidRDefault="00065FBC" w:rsidP="00065FBC">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b/>
                <w:sz w:val="17"/>
                <w:szCs w:val="17"/>
              </w:rPr>
            </w:pPr>
            <w:r w:rsidRPr="00065FBC">
              <w:rPr>
                <w:rFonts w:ascii="Arial" w:hAnsi="Arial" w:cs="Arial"/>
                <w:b/>
                <w:sz w:val="17"/>
                <w:szCs w:val="17"/>
              </w:rPr>
              <w:t>2,082,093,530</w:t>
            </w:r>
          </w:p>
        </w:tc>
        <w:tc>
          <w:tcPr>
            <w:tcW w:w="2180" w:type="dxa"/>
            <w:tcBorders>
              <w:top w:val="single" w:sz="4" w:space="0" w:color="auto"/>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b/>
                <w:sz w:val="17"/>
                <w:szCs w:val="17"/>
              </w:rPr>
            </w:pPr>
            <w:r w:rsidRPr="001F7CB1">
              <w:rPr>
                <w:rFonts w:ascii="Arial" w:hAnsi="Arial" w:cs="Arial"/>
                <w:b/>
                <w:sz w:val="17"/>
                <w:szCs w:val="17"/>
              </w:rPr>
              <w:t>1,853,543,294</w:t>
            </w:r>
          </w:p>
        </w:tc>
      </w:tr>
      <w:tr w:rsidR="00065FBC"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6C5E04" w:rsidRDefault="00065FBC" w:rsidP="00065FBC">
            <w:pPr>
              <w:rPr>
                <w:rFonts w:ascii="Arial" w:hAnsi="Arial" w:cs="Arial"/>
                <w:b/>
                <w:sz w:val="17"/>
                <w:szCs w:val="17"/>
              </w:rPr>
            </w:pPr>
            <w:r>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b/>
                <w:sz w:val="17"/>
                <w:szCs w:val="17"/>
              </w:rPr>
            </w:pPr>
            <w:r w:rsidRPr="00065FBC">
              <w:rPr>
                <w:rFonts w:ascii="Arial" w:hAnsi="Arial" w:cs="Arial"/>
                <w:b/>
                <w:sz w:val="17"/>
                <w:szCs w:val="17"/>
              </w:rPr>
              <w:t>144,007,386</w:t>
            </w:r>
          </w:p>
        </w:tc>
        <w:tc>
          <w:tcPr>
            <w:tcW w:w="2180" w:type="dxa"/>
            <w:tcBorders>
              <w:top w:val="single" w:sz="4" w:space="0" w:color="auto"/>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b/>
                <w:sz w:val="17"/>
                <w:szCs w:val="17"/>
              </w:rPr>
            </w:pPr>
            <w:r w:rsidRPr="001F7CB1">
              <w:rPr>
                <w:rFonts w:ascii="Arial" w:hAnsi="Arial" w:cs="Arial"/>
                <w:b/>
                <w:sz w:val="17"/>
                <w:szCs w:val="17"/>
              </w:rPr>
              <w:t>142,333,257</w:t>
            </w:r>
          </w:p>
        </w:tc>
      </w:tr>
      <w:tr w:rsidR="00065FBC"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6C5E04" w:rsidRDefault="00065FBC" w:rsidP="00065FBC">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b/>
                <w:sz w:val="17"/>
                <w:szCs w:val="17"/>
              </w:rPr>
            </w:pPr>
            <w:r w:rsidRPr="00065FBC">
              <w:rPr>
                <w:rFonts w:ascii="Arial" w:hAnsi="Arial" w:cs="Arial"/>
                <w:b/>
                <w:sz w:val="17"/>
                <w:szCs w:val="17"/>
              </w:rPr>
              <w:t>31,967,460</w:t>
            </w:r>
          </w:p>
        </w:tc>
        <w:tc>
          <w:tcPr>
            <w:tcW w:w="2180" w:type="dxa"/>
            <w:tcBorders>
              <w:top w:val="single" w:sz="4" w:space="0" w:color="auto"/>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b/>
                <w:sz w:val="17"/>
                <w:szCs w:val="17"/>
              </w:rPr>
            </w:pPr>
            <w:r w:rsidRPr="001F7CB1">
              <w:rPr>
                <w:rFonts w:ascii="Arial" w:hAnsi="Arial" w:cs="Arial"/>
                <w:b/>
                <w:sz w:val="17"/>
                <w:szCs w:val="17"/>
              </w:rPr>
              <w:t>30,439,880</w:t>
            </w:r>
          </w:p>
        </w:tc>
      </w:tr>
      <w:tr w:rsidR="00DC617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C6176" w:rsidRPr="006C5E04" w:rsidRDefault="00DC6176" w:rsidP="00DC6176">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DC6176" w:rsidRPr="001F7CB1" w:rsidRDefault="00065FBC" w:rsidP="00DC6176">
            <w:pPr>
              <w:jc w:val="right"/>
              <w:rPr>
                <w:rFonts w:ascii="Arial" w:hAnsi="Arial" w:cs="Arial"/>
                <w:b/>
                <w:sz w:val="17"/>
                <w:szCs w:val="17"/>
              </w:rPr>
            </w:pPr>
            <w:r>
              <w:rPr>
                <w:rFonts w:ascii="Arial" w:hAnsi="Arial" w:cs="Arial"/>
                <w:b/>
                <w:sz w:val="17"/>
                <w:szCs w:val="17"/>
              </w:rPr>
              <w:t>441,649,673</w:t>
            </w:r>
          </w:p>
        </w:tc>
        <w:tc>
          <w:tcPr>
            <w:tcW w:w="2180" w:type="dxa"/>
            <w:tcBorders>
              <w:top w:val="single" w:sz="4" w:space="0" w:color="auto"/>
              <w:left w:val="nil"/>
              <w:bottom w:val="single" w:sz="4" w:space="0" w:color="auto"/>
              <w:right w:val="single" w:sz="4" w:space="0" w:color="auto"/>
            </w:tcBorders>
            <w:shd w:val="clear" w:color="auto" w:fill="auto"/>
          </w:tcPr>
          <w:p w:rsidR="00DC6176" w:rsidRPr="001F7CB1" w:rsidRDefault="00DC6176" w:rsidP="00DC6176">
            <w:pPr>
              <w:jc w:val="right"/>
              <w:rPr>
                <w:rFonts w:ascii="Arial" w:hAnsi="Arial" w:cs="Arial"/>
                <w:b/>
                <w:sz w:val="17"/>
                <w:szCs w:val="17"/>
              </w:rPr>
            </w:pPr>
            <w:r w:rsidRPr="001F7CB1">
              <w:rPr>
                <w:rFonts w:ascii="Arial" w:hAnsi="Arial" w:cs="Arial"/>
                <w:b/>
                <w:sz w:val="17"/>
                <w:szCs w:val="17"/>
              </w:rPr>
              <w:t>395,108,316</w:t>
            </w:r>
          </w:p>
        </w:tc>
      </w:tr>
      <w:tr w:rsidR="00065FBC"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9D4479" w:rsidRDefault="00065FBC" w:rsidP="00065FBC">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sz w:val="17"/>
                <w:szCs w:val="17"/>
              </w:rPr>
            </w:pPr>
            <w:r w:rsidRPr="00065FBC">
              <w:rPr>
                <w:rFonts w:ascii="Arial" w:hAnsi="Arial" w:cs="Arial"/>
                <w:sz w:val="17"/>
                <w:szCs w:val="17"/>
              </w:rPr>
              <w:t>2,598,839</w:t>
            </w:r>
          </w:p>
        </w:tc>
        <w:tc>
          <w:tcPr>
            <w:tcW w:w="2180" w:type="dxa"/>
            <w:tcBorders>
              <w:top w:val="single" w:sz="4" w:space="0" w:color="auto"/>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sz w:val="17"/>
                <w:szCs w:val="17"/>
              </w:rPr>
            </w:pPr>
            <w:r w:rsidRPr="001F7CB1">
              <w:rPr>
                <w:rFonts w:ascii="Arial" w:hAnsi="Arial" w:cs="Arial"/>
                <w:sz w:val="17"/>
                <w:szCs w:val="17"/>
              </w:rPr>
              <w:t>2,448,078</w:t>
            </w:r>
          </w:p>
        </w:tc>
      </w:tr>
      <w:tr w:rsidR="00065FBC" w:rsidRPr="002D70DA" w:rsidTr="00B80FBC">
        <w:trPr>
          <w:trHeight w:val="94"/>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9D4479" w:rsidRDefault="00065FBC" w:rsidP="00065FBC">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sz w:val="17"/>
                <w:szCs w:val="17"/>
              </w:rPr>
            </w:pPr>
            <w:r w:rsidRPr="00065FBC">
              <w:rPr>
                <w:rFonts w:ascii="Arial" w:hAnsi="Arial" w:cs="Arial"/>
                <w:sz w:val="17"/>
                <w:szCs w:val="17"/>
              </w:rPr>
              <w:t>4,766,134</w:t>
            </w:r>
          </w:p>
        </w:tc>
        <w:tc>
          <w:tcPr>
            <w:tcW w:w="2180" w:type="dxa"/>
            <w:tcBorders>
              <w:top w:val="single" w:sz="4" w:space="0" w:color="auto"/>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sz w:val="17"/>
                <w:szCs w:val="17"/>
              </w:rPr>
            </w:pPr>
            <w:r w:rsidRPr="001F7CB1">
              <w:rPr>
                <w:rFonts w:ascii="Arial" w:hAnsi="Arial" w:cs="Arial"/>
                <w:sz w:val="17"/>
                <w:szCs w:val="17"/>
              </w:rPr>
              <w:t>4,921,649</w:t>
            </w:r>
          </w:p>
        </w:tc>
      </w:tr>
      <w:tr w:rsidR="00065FBC"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9D4479" w:rsidRDefault="00065FBC" w:rsidP="00065FBC">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sz w:val="17"/>
                <w:szCs w:val="17"/>
              </w:rPr>
            </w:pPr>
            <w:r w:rsidRPr="00065FBC">
              <w:rPr>
                <w:rFonts w:ascii="Arial" w:hAnsi="Arial" w:cs="Arial"/>
                <w:sz w:val="17"/>
                <w:szCs w:val="17"/>
              </w:rPr>
              <w:t>12,459,760</w:t>
            </w:r>
          </w:p>
        </w:tc>
        <w:tc>
          <w:tcPr>
            <w:tcW w:w="2180" w:type="dxa"/>
            <w:tcBorders>
              <w:top w:val="single" w:sz="4" w:space="0" w:color="auto"/>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sz w:val="17"/>
                <w:szCs w:val="17"/>
              </w:rPr>
            </w:pPr>
            <w:r w:rsidRPr="001F7CB1">
              <w:rPr>
                <w:rFonts w:ascii="Arial" w:hAnsi="Arial" w:cs="Arial"/>
                <w:sz w:val="17"/>
                <w:szCs w:val="17"/>
              </w:rPr>
              <w:t>11,383,052</w:t>
            </w:r>
          </w:p>
        </w:tc>
      </w:tr>
      <w:tr w:rsidR="00065FBC"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9D4479" w:rsidRDefault="00065FBC" w:rsidP="00065FBC">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sz w:val="17"/>
                <w:szCs w:val="17"/>
              </w:rPr>
            </w:pPr>
            <w:r w:rsidRPr="00065FBC">
              <w:rPr>
                <w:rFonts w:ascii="Arial" w:hAnsi="Arial" w:cs="Arial"/>
                <w:sz w:val="17"/>
                <w:szCs w:val="17"/>
              </w:rPr>
              <w:t>404,593,274</w:t>
            </w:r>
          </w:p>
        </w:tc>
        <w:tc>
          <w:tcPr>
            <w:tcW w:w="2180" w:type="dxa"/>
            <w:tcBorders>
              <w:top w:val="single" w:sz="4" w:space="0" w:color="auto"/>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sz w:val="17"/>
                <w:szCs w:val="17"/>
              </w:rPr>
            </w:pPr>
            <w:r w:rsidRPr="001F7CB1">
              <w:rPr>
                <w:rFonts w:ascii="Arial" w:hAnsi="Arial" w:cs="Arial"/>
                <w:sz w:val="17"/>
                <w:szCs w:val="17"/>
              </w:rPr>
              <w:t>359,268,085</w:t>
            </w:r>
          </w:p>
        </w:tc>
      </w:tr>
      <w:tr w:rsidR="00065FBC"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9D4479" w:rsidRDefault="00065FBC" w:rsidP="00065FBC">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sz w:val="17"/>
                <w:szCs w:val="17"/>
              </w:rPr>
            </w:pPr>
            <w:r w:rsidRPr="00065FBC">
              <w:rPr>
                <w:rFonts w:ascii="Arial" w:hAnsi="Arial" w:cs="Arial"/>
                <w:sz w:val="17"/>
                <w:szCs w:val="17"/>
              </w:rPr>
              <w:t>11,101,759</w:t>
            </w:r>
          </w:p>
        </w:tc>
        <w:tc>
          <w:tcPr>
            <w:tcW w:w="2180" w:type="dxa"/>
            <w:tcBorders>
              <w:top w:val="single" w:sz="4" w:space="0" w:color="auto"/>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sz w:val="17"/>
                <w:szCs w:val="17"/>
              </w:rPr>
            </w:pPr>
            <w:r w:rsidRPr="001F7CB1">
              <w:rPr>
                <w:rFonts w:ascii="Arial" w:hAnsi="Arial" w:cs="Arial"/>
                <w:sz w:val="17"/>
                <w:szCs w:val="17"/>
              </w:rPr>
              <w:t>10,599,132</w:t>
            </w:r>
          </w:p>
        </w:tc>
      </w:tr>
      <w:tr w:rsidR="00065FBC"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9D4479" w:rsidRDefault="00065FBC" w:rsidP="00065FBC">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sz w:val="17"/>
                <w:szCs w:val="17"/>
              </w:rPr>
            </w:pPr>
            <w:r w:rsidRPr="00065FBC">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sz w:val="17"/>
                <w:szCs w:val="17"/>
              </w:rPr>
            </w:pPr>
            <w:r w:rsidRPr="001F7CB1">
              <w:rPr>
                <w:rFonts w:ascii="Arial" w:hAnsi="Arial" w:cs="Arial"/>
                <w:sz w:val="17"/>
                <w:szCs w:val="17"/>
              </w:rPr>
              <w:t>754,789</w:t>
            </w:r>
          </w:p>
        </w:tc>
      </w:tr>
      <w:tr w:rsidR="00065FBC"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65FBC" w:rsidRPr="009D4479" w:rsidRDefault="00065FBC" w:rsidP="00065FBC">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sz w:val="17"/>
                <w:szCs w:val="17"/>
              </w:rPr>
            </w:pPr>
            <w:r w:rsidRPr="00065FBC">
              <w:rPr>
                <w:rFonts w:ascii="Arial" w:hAnsi="Arial" w:cs="Arial"/>
                <w:sz w:val="17"/>
                <w:szCs w:val="17"/>
              </w:rPr>
              <w:t>4,010,141</w:t>
            </w:r>
          </w:p>
        </w:tc>
        <w:tc>
          <w:tcPr>
            <w:tcW w:w="2180" w:type="dxa"/>
            <w:tcBorders>
              <w:top w:val="single" w:sz="4" w:space="0" w:color="auto"/>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sz w:val="17"/>
                <w:szCs w:val="17"/>
              </w:rPr>
            </w:pPr>
            <w:r w:rsidRPr="001F7CB1">
              <w:rPr>
                <w:rFonts w:ascii="Arial" w:hAnsi="Arial" w:cs="Arial"/>
                <w:sz w:val="17"/>
                <w:szCs w:val="17"/>
              </w:rPr>
              <w:t>3,882,967</w:t>
            </w:r>
          </w:p>
        </w:tc>
      </w:tr>
      <w:tr w:rsidR="00065FBC" w:rsidRPr="002D70DA" w:rsidTr="002A78B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65FBC" w:rsidRPr="009D4479" w:rsidRDefault="00065FBC" w:rsidP="00065FBC">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065FBC" w:rsidRPr="00065FBC" w:rsidRDefault="00065FBC" w:rsidP="00065FBC">
            <w:pPr>
              <w:jc w:val="right"/>
              <w:rPr>
                <w:rFonts w:ascii="Arial" w:hAnsi="Arial" w:cs="Arial"/>
                <w:sz w:val="17"/>
                <w:szCs w:val="17"/>
              </w:rPr>
            </w:pPr>
            <w:r w:rsidRPr="00065FBC">
              <w:rPr>
                <w:rFonts w:ascii="Arial" w:hAnsi="Arial" w:cs="Arial"/>
                <w:sz w:val="17"/>
                <w:szCs w:val="17"/>
              </w:rPr>
              <w:t>2,119,766</w:t>
            </w:r>
          </w:p>
        </w:tc>
        <w:tc>
          <w:tcPr>
            <w:tcW w:w="2180" w:type="dxa"/>
            <w:tcBorders>
              <w:top w:val="nil"/>
              <w:left w:val="nil"/>
              <w:bottom w:val="single" w:sz="4" w:space="0" w:color="auto"/>
              <w:right w:val="single" w:sz="4" w:space="0" w:color="auto"/>
            </w:tcBorders>
            <w:shd w:val="clear" w:color="auto" w:fill="auto"/>
          </w:tcPr>
          <w:p w:rsidR="00065FBC" w:rsidRPr="001F7CB1" w:rsidRDefault="00065FBC" w:rsidP="00065FBC">
            <w:pPr>
              <w:jc w:val="right"/>
              <w:rPr>
                <w:rFonts w:ascii="Arial" w:hAnsi="Arial" w:cs="Arial"/>
                <w:sz w:val="17"/>
                <w:szCs w:val="17"/>
              </w:rPr>
            </w:pPr>
            <w:r w:rsidRPr="001F7CB1">
              <w:rPr>
                <w:rFonts w:ascii="Arial" w:hAnsi="Arial" w:cs="Arial"/>
                <w:sz w:val="17"/>
                <w:szCs w:val="17"/>
              </w:rPr>
              <w:t>1,850,565</w:t>
            </w:r>
          </w:p>
        </w:tc>
      </w:tr>
      <w:tr w:rsidR="00DC6176"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DC6176" w:rsidRPr="002D70DA" w:rsidRDefault="00DC6176" w:rsidP="00DC617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DC6176" w:rsidRPr="005B5FB9" w:rsidRDefault="00065FBC" w:rsidP="00DC6176">
            <w:pPr>
              <w:jc w:val="right"/>
              <w:rPr>
                <w:rFonts w:ascii="Arial" w:hAnsi="Arial" w:cs="Arial"/>
                <w:b/>
                <w:bCs/>
                <w:color w:val="000000"/>
                <w:sz w:val="17"/>
                <w:szCs w:val="17"/>
                <w14:numForm w14:val="lining"/>
              </w:rPr>
            </w:pPr>
            <w:r w:rsidRPr="00065FBC">
              <w:rPr>
                <w:rFonts w:ascii="Arial" w:hAnsi="Arial" w:cs="Arial"/>
                <w:b/>
                <w:bCs/>
                <w:color w:val="000000"/>
                <w:sz w:val="17"/>
                <w:szCs w:val="17"/>
                <w14:numForm w14:val="lining"/>
              </w:rPr>
              <w:t>2,699,718,049</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DC6176" w:rsidRPr="005B5FB9" w:rsidRDefault="00DC6176" w:rsidP="00DC6176">
            <w:pPr>
              <w:jc w:val="right"/>
              <w:rPr>
                <w:rFonts w:ascii="Arial" w:hAnsi="Arial" w:cs="Arial"/>
                <w:b/>
                <w:bCs/>
                <w:color w:val="000000"/>
                <w:sz w:val="17"/>
                <w:szCs w:val="17"/>
                <w14:numForm w14:val="lining"/>
              </w:rPr>
            </w:pPr>
            <w:r w:rsidRPr="001F7CB1">
              <w:rPr>
                <w:rFonts w:ascii="Arial" w:hAnsi="Arial" w:cs="Arial"/>
                <w:b/>
                <w:bCs/>
                <w:color w:val="000000"/>
                <w:sz w:val="17"/>
                <w:szCs w:val="17"/>
                <w14:numForm w14:val="lining"/>
              </w:rPr>
              <w:t>2,421,424,748</w:t>
            </w:r>
          </w:p>
        </w:tc>
      </w:tr>
    </w:tbl>
    <w:p w:rsidR="00B80FBC" w:rsidRDefault="00B80FBC" w:rsidP="00E856ED">
      <w:pPr>
        <w:spacing w:before="80" w:line="250" w:lineRule="exact"/>
        <w:ind w:left="709"/>
        <w:jc w:val="both"/>
        <w:rPr>
          <w:rFonts w:ascii="Arial" w:eastAsia="Calibri" w:hAnsi="Arial" w:cs="Arial"/>
          <w:spacing w:val="-1"/>
          <w:sz w:val="17"/>
          <w:szCs w:val="17"/>
        </w:rPr>
      </w:pPr>
    </w:p>
    <w:p w:rsidR="00997098" w:rsidRDefault="00997098" w:rsidP="00997098">
      <w:pPr>
        <w:ind w:left="709"/>
        <w:jc w:val="both"/>
        <w:rPr>
          <w:rFonts w:ascii="Arial" w:eastAsia="Calibri" w:hAnsi="Arial" w:cs="Arial"/>
          <w:spacing w:val="-1"/>
          <w:sz w:val="17"/>
          <w:szCs w:val="17"/>
        </w:rPr>
      </w:pPr>
      <w:r w:rsidRPr="000C1305">
        <w:rPr>
          <w:rFonts w:ascii="Arial" w:eastAsia="Calibri" w:hAnsi="Arial" w:cs="Arial"/>
          <w:spacing w:val="-1"/>
          <w:sz w:val="17"/>
          <w:szCs w:val="17"/>
        </w:rPr>
        <w:lastRenderedPageBreak/>
        <w:t xml:space="preserve">El incremento </w:t>
      </w:r>
      <w:r>
        <w:rPr>
          <w:rFonts w:ascii="Arial" w:eastAsia="Calibri" w:hAnsi="Arial" w:cs="Arial"/>
          <w:spacing w:val="-1"/>
          <w:sz w:val="17"/>
          <w:szCs w:val="17"/>
        </w:rPr>
        <w:t xml:space="preserve">en el Poder Ejecutivo, </w:t>
      </w:r>
      <w:r w:rsidRPr="000C1305">
        <w:rPr>
          <w:rFonts w:ascii="Arial" w:eastAsia="Calibri" w:hAnsi="Arial" w:cs="Arial"/>
          <w:spacing w:val="-1"/>
          <w:sz w:val="17"/>
          <w:szCs w:val="17"/>
        </w:rPr>
        <w:t>obedece principalmente al reconocimiento del Instituto Queretano de Cultura y las Artes como Dependencia Estatal.</w:t>
      </w:r>
      <w:r>
        <w:rPr>
          <w:rFonts w:ascii="Arial" w:eastAsia="Calibri" w:hAnsi="Arial" w:cs="Arial"/>
          <w:spacing w:val="-1"/>
          <w:sz w:val="17"/>
          <w:szCs w:val="17"/>
        </w:rPr>
        <w:t xml:space="preserve"> </w:t>
      </w:r>
    </w:p>
    <w:p w:rsidR="00997098" w:rsidRDefault="00997098" w:rsidP="00997098">
      <w:pPr>
        <w:spacing w:before="80" w:line="250" w:lineRule="exact"/>
        <w:ind w:left="709"/>
        <w:jc w:val="both"/>
        <w:rPr>
          <w:rFonts w:ascii="Arial" w:eastAsia="Calibri" w:hAnsi="Arial" w:cs="Arial"/>
          <w:spacing w:val="-1"/>
          <w:sz w:val="17"/>
          <w:szCs w:val="17"/>
        </w:rPr>
      </w:pPr>
    </w:p>
    <w:p w:rsidR="007F7800" w:rsidRPr="00077B39" w:rsidRDefault="007F7800" w:rsidP="00E856ED">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sidR="00806813">
        <w:rPr>
          <w:rFonts w:ascii="Arial" w:eastAsia="Calibri" w:hAnsi="Arial" w:cs="Arial"/>
          <w:spacing w:val="-1"/>
          <w:sz w:val="17"/>
          <w:szCs w:val="17"/>
        </w:rPr>
        <w:t>de la cuenta</w:t>
      </w:r>
      <w:r w:rsidRPr="00077B39">
        <w:rPr>
          <w:rFonts w:ascii="Arial" w:eastAsia="Calibri" w:hAnsi="Arial" w:cs="Arial"/>
          <w:spacing w:val="-1"/>
          <w:sz w:val="17"/>
          <w:szCs w:val="17"/>
        </w:rPr>
        <w:t xml:space="preserve"> </w:t>
      </w:r>
      <w:r w:rsidR="00286C57">
        <w:rPr>
          <w:rFonts w:ascii="Arial" w:eastAsia="Calibri" w:hAnsi="Arial" w:cs="Arial"/>
          <w:spacing w:val="-1"/>
          <w:sz w:val="17"/>
          <w:szCs w:val="17"/>
        </w:rPr>
        <w:t>Depreciación, Deterioro y Amortización Acumulada de Bienes</w:t>
      </w:r>
      <w:r w:rsidRPr="00077B39">
        <w:rPr>
          <w:rFonts w:ascii="Arial" w:eastAsia="Calibri" w:hAnsi="Arial" w:cs="Arial"/>
          <w:spacing w:val="-1"/>
          <w:sz w:val="17"/>
          <w:szCs w:val="17"/>
        </w:rPr>
        <w:t xml:space="preserve">, el monto al 31 de diciembre del </w:t>
      </w:r>
      <w:r w:rsidR="00582811">
        <w:rPr>
          <w:rFonts w:ascii="Arial" w:eastAsia="Calibri" w:hAnsi="Arial" w:cs="Arial"/>
          <w:spacing w:val="-1"/>
          <w:sz w:val="17"/>
          <w:szCs w:val="17"/>
        </w:rPr>
        <w:t>2017</w:t>
      </w:r>
      <w:r w:rsidR="00286C57">
        <w:rPr>
          <w:rFonts w:ascii="Arial" w:eastAsia="Calibri" w:hAnsi="Arial" w:cs="Arial"/>
          <w:spacing w:val="-1"/>
          <w:sz w:val="17"/>
          <w:szCs w:val="17"/>
        </w:rPr>
        <w:t>:</w:t>
      </w:r>
    </w:p>
    <w:p w:rsidR="007F7800" w:rsidRPr="00077B39" w:rsidRDefault="007F7800" w:rsidP="00077B39">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7"/>
        <w:gridCol w:w="1446"/>
        <w:gridCol w:w="1445"/>
      </w:tblGrid>
      <w:tr w:rsidR="00B76955" w:rsidRPr="002D70DA" w:rsidTr="001C4EC6">
        <w:trPr>
          <w:trHeight w:val="299"/>
          <w:jc w:val="center"/>
        </w:trPr>
        <w:tc>
          <w:tcPr>
            <w:tcW w:w="2565"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B76955" w:rsidRPr="002D70DA" w:rsidRDefault="00B76955" w:rsidP="005304C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B76955" w:rsidRPr="002D70DA" w:rsidRDefault="00B76955" w:rsidP="005304C7">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B76955" w:rsidRPr="002D70DA" w:rsidRDefault="00B76955" w:rsidP="005304C7">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B76955" w:rsidRPr="002D70DA" w:rsidTr="001C4EC6">
        <w:trPr>
          <w:trHeight w:val="299"/>
          <w:jc w:val="center"/>
        </w:trPr>
        <w:tc>
          <w:tcPr>
            <w:tcW w:w="2565" w:type="pct"/>
            <w:vMerge/>
            <w:tcBorders>
              <w:left w:val="single" w:sz="4" w:space="0" w:color="auto"/>
              <w:bottom w:val="single" w:sz="4" w:space="0" w:color="auto"/>
              <w:right w:val="single" w:sz="4" w:space="0" w:color="auto"/>
            </w:tcBorders>
            <w:shd w:val="clear" w:color="000000" w:fill="F2F2F2"/>
            <w:vAlign w:val="center"/>
          </w:tcPr>
          <w:p w:rsidR="00B76955" w:rsidRPr="002D70DA" w:rsidRDefault="00B76955" w:rsidP="005304C7">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B76955" w:rsidRPr="002D70DA" w:rsidRDefault="00B76955" w:rsidP="005304C7">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B76955" w:rsidRPr="002D70DA" w:rsidRDefault="00B76955" w:rsidP="005304C7">
            <w:pPr>
              <w:jc w:val="center"/>
              <w:rPr>
                <w:rFonts w:ascii="Arial" w:hAnsi="Arial" w:cs="Arial"/>
                <w:b/>
                <w:bCs/>
                <w:color w:val="000000"/>
                <w:sz w:val="17"/>
                <w:szCs w:val="17"/>
              </w:rPr>
            </w:pPr>
          </w:p>
        </w:tc>
      </w:tr>
      <w:tr w:rsidR="00B76955" w:rsidRPr="002D70DA" w:rsidTr="001C4EC6">
        <w:trPr>
          <w:trHeight w:val="240"/>
          <w:jc w:val="center"/>
        </w:trPr>
        <w:tc>
          <w:tcPr>
            <w:tcW w:w="2565" w:type="pct"/>
            <w:tcBorders>
              <w:top w:val="nil"/>
              <w:left w:val="single" w:sz="4" w:space="0" w:color="auto"/>
              <w:bottom w:val="single" w:sz="4" w:space="0" w:color="auto"/>
              <w:right w:val="single" w:sz="4" w:space="0" w:color="auto"/>
            </w:tcBorders>
            <w:shd w:val="clear" w:color="auto" w:fill="auto"/>
            <w:vAlign w:val="center"/>
            <w:hideMark/>
          </w:tcPr>
          <w:p w:rsidR="00B76955" w:rsidRPr="002D70DA" w:rsidRDefault="001C4EC6" w:rsidP="00286C57">
            <w:pPr>
              <w:rPr>
                <w:rFonts w:ascii="Arial" w:hAnsi="Arial" w:cs="Arial"/>
                <w:color w:val="000000"/>
                <w:sz w:val="17"/>
                <w:szCs w:val="17"/>
              </w:rPr>
            </w:pPr>
            <w:r w:rsidRPr="001C4EC6">
              <w:rPr>
                <w:rFonts w:ascii="Arial" w:hAnsi="Arial" w:cs="Arial"/>
                <w:color w:val="000000"/>
                <w:sz w:val="17"/>
                <w:szCs w:val="17"/>
              </w:rPr>
              <w:t>Depreciación Acumulada</w:t>
            </w:r>
          </w:p>
        </w:tc>
        <w:tc>
          <w:tcPr>
            <w:tcW w:w="1218" w:type="pct"/>
            <w:tcBorders>
              <w:top w:val="nil"/>
              <w:left w:val="nil"/>
              <w:bottom w:val="single" w:sz="4" w:space="0" w:color="auto"/>
              <w:right w:val="single" w:sz="4" w:space="0" w:color="auto"/>
            </w:tcBorders>
            <w:shd w:val="clear" w:color="auto" w:fill="auto"/>
          </w:tcPr>
          <w:p w:rsidR="00B76955" w:rsidRPr="000A5319" w:rsidRDefault="00997098" w:rsidP="005304C7">
            <w:pPr>
              <w:jc w:val="right"/>
              <w:rPr>
                <w:rFonts w:ascii="Arial" w:hAnsi="Arial" w:cs="Arial"/>
                <w:sz w:val="17"/>
                <w:szCs w:val="17"/>
              </w:rPr>
            </w:pPr>
            <w:r w:rsidRPr="00997098">
              <w:rPr>
                <w:rFonts w:ascii="Arial" w:hAnsi="Arial" w:cs="Arial"/>
                <w:sz w:val="17"/>
                <w:szCs w:val="17"/>
              </w:rPr>
              <w:t>248,530,347</w:t>
            </w:r>
          </w:p>
        </w:tc>
        <w:tc>
          <w:tcPr>
            <w:tcW w:w="1218" w:type="pct"/>
            <w:tcBorders>
              <w:top w:val="nil"/>
              <w:left w:val="nil"/>
              <w:bottom w:val="single" w:sz="4" w:space="0" w:color="auto"/>
              <w:right w:val="single" w:sz="4" w:space="0" w:color="auto"/>
            </w:tcBorders>
            <w:shd w:val="clear" w:color="auto" w:fill="auto"/>
          </w:tcPr>
          <w:p w:rsidR="00B76955" w:rsidRPr="000A5319" w:rsidRDefault="00997098" w:rsidP="005304C7">
            <w:pPr>
              <w:jc w:val="right"/>
              <w:rPr>
                <w:rFonts w:ascii="Arial" w:hAnsi="Arial" w:cs="Arial"/>
                <w:sz w:val="17"/>
                <w:szCs w:val="17"/>
              </w:rPr>
            </w:pPr>
            <w:r w:rsidRPr="00997098">
              <w:rPr>
                <w:rFonts w:ascii="Arial" w:hAnsi="Arial" w:cs="Arial"/>
                <w:sz w:val="17"/>
                <w:szCs w:val="17"/>
              </w:rPr>
              <w:t>595,554,433</w:t>
            </w:r>
          </w:p>
        </w:tc>
      </w:tr>
    </w:tbl>
    <w:p w:rsidR="001C4EC6" w:rsidRDefault="001C4EC6" w:rsidP="008D31C1">
      <w:pPr>
        <w:spacing w:before="80" w:line="250" w:lineRule="exact"/>
        <w:ind w:left="709"/>
        <w:jc w:val="both"/>
        <w:rPr>
          <w:rFonts w:ascii="Arial" w:eastAsia="Calibri" w:hAnsi="Arial" w:cs="Arial"/>
          <w:spacing w:val="-1"/>
          <w:sz w:val="17"/>
          <w:szCs w:val="17"/>
        </w:rPr>
      </w:pPr>
    </w:p>
    <w:p w:rsidR="00155B42" w:rsidRDefault="00155B42" w:rsidP="00155B42">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155B42" w:rsidRPr="002D70DA" w:rsidRDefault="00155B42" w:rsidP="00155B4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55B42"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5B42" w:rsidRPr="002D70DA" w:rsidRDefault="00155B42"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B42" w:rsidRPr="002D70DA" w:rsidRDefault="00155B42" w:rsidP="002A78B5">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B42" w:rsidRPr="002D70DA" w:rsidRDefault="00155B42" w:rsidP="002A78B5">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AF02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F0204" w:rsidRPr="006C5E04" w:rsidRDefault="00AF0204" w:rsidP="00AF0204">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b/>
                <w:sz w:val="17"/>
                <w:szCs w:val="17"/>
              </w:rPr>
            </w:pPr>
            <w:r w:rsidRPr="00AF0204">
              <w:rPr>
                <w:rFonts w:ascii="Arial" w:hAnsi="Arial" w:cs="Arial"/>
                <w:b/>
                <w:sz w:val="17"/>
                <w:szCs w:val="17"/>
              </w:rPr>
              <w:t>188,093,457</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b/>
                <w:sz w:val="17"/>
                <w:szCs w:val="17"/>
              </w:rPr>
            </w:pPr>
            <w:r w:rsidRPr="00AF0204">
              <w:rPr>
                <w:rFonts w:ascii="Arial" w:hAnsi="Arial" w:cs="Arial"/>
                <w:b/>
                <w:sz w:val="17"/>
                <w:szCs w:val="17"/>
              </w:rPr>
              <w:t>437,130,517</w:t>
            </w:r>
          </w:p>
        </w:tc>
      </w:tr>
      <w:tr w:rsidR="00AF02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F0204" w:rsidRPr="006C5E04" w:rsidRDefault="00AF0204" w:rsidP="00AF0204">
            <w:pPr>
              <w:rPr>
                <w:rFonts w:ascii="Arial" w:hAnsi="Arial" w:cs="Arial"/>
                <w:b/>
                <w:sz w:val="17"/>
                <w:szCs w:val="17"/>
              </w:rPr>
            </w:pPr>
            <w:r>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b/>
                <w:sz w:val="17"/>
                <w:szCs w:val="17"/>
              </w:rPr>
            </w:pPr>
            <w:r w:rsidRPr="00AF0204">
              <w:rPr>
                <w:rFonts w:ascii="Arial" w:hAnsi="Arial" w:cs="Arial"/>
                <w:b/>
                <w:sz w:val="17"/>
                <w:szCs w:val="17"/>
              </w:rPr>
              <w:t>13,994,920</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b/>
                <w:sz w:val="17"/>
                <w:szCs w:val="17"/>
              </w:rPr>
            </w:pPr>
            <w:r w:rsidRPr="00AF0204">
              <w:rPr>
                <w:rFonts w:ascii="Arial" w:hAnsi="Arial" w:cs="Arial"/>
                <w:b/>
                <w:sz w:val="17"/>
                <w:szCs w:val="17"/>
              </w:rPr>
              <w:t>41,143,375</w:t>
            </w:r>
          </w:p>
        </w:tc>
      </w:tr>
      <w:tr w:rsidR="00AF02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F0204" w:rsidRPr="006C5E04" w:rsidRDefault="00AF0204" w:rsidP="00AF0204">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b/>
                <w:sz w:val="17"/>
                <w:szCs w:val="17"/>
              </w:rPr>
            </w:pPr>
            <w:r w:rsidRPr="00AF0204">
              <w:rPr>
                <w:rFonts w:ascii="Arial" w:hAnsi="Arial" w:cs="Arial"/>
                <w:b/>
                <w:sz w:val="17"/>
                <w:szCs w:val="17"/>
              </w:rPr>
              <w:t>9,381,147</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b/>
                <w:sz w:val="17"/>
                <w:szCs w:val="17"/>
              </w:rPr>
            </w:pPr>
            <w:r w:rsidRPr="00AF0204">
              <w:rPr>
                <w:rFonts w:ascii="Arial" w:hAnsi="Arial" w:cs="Arial"/>
                <w:b/>
                <w:sz w:val="17"/>
                <w:szCs w:val="17"/>
              </w:rPr>
              <w:t>13,693,391</w:t>
            </w:r>
          </w:p>
        </w:tc>
      </w:tr>
      <w:tr w:rsidR="00155B42"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B42" w:rsidRPr="006C5E04" w:rsidRDefault="00155B42" w:rsidP="002A78B5">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55B42" w:rsidRPr="001F7CB1" w:rsidRDefault="00AF0204" w:rsidP="002A78B5">
            <w:pPr>
              <w:jc w:val="right"/>
              <w:rPr>
                <w:rFonts w:ascii="Arial" w:hAnsi="Arial" w:cs="Arial"/>
                <w:b/>
                <w:sz w:val="17"/>
                <w:szCs w:val="17"/>
              </w:rPr>
            </w:pPr>
            <w:r>
              <w:rPr>
                <w:rFonts w:ascii="Arial" w:hAnsi="Arial" w:cs="Arial"/>
                <w:b/>
                <w:sz w:val="17"/>
                <w:szCs w:val="17"/>
              </w:rPr>
              <w:t>37,060,823</w:t>
            </w:r>
          </w:p>
        </w:tc>
        <w:tc>
          <w:tcPr>
            <w:tcW w:w="2180" w:type="dxa"/>
            <w:tcBorders>
              <w:top w:val="single" w:sz="4" w:space="0" w:color="auto"/>
              <w:left w:val="nil"/>
              <w:bottom w:val="single" w:sz="4" w:space="0" w:color="auto"/>
              <w:right w:val="single" w:sz="4" w:space="0" w:color="auto"/>
            </w:tcBorders>
            <w:shd w:val="clear" w:color="auto" w:fill="auto"/>
          </w:tcPr>
          <w:p w:rsidR="00155B42" w:rsidRPr="001F7CB1" w:rsidRDefault="007F4691" w:rsidP="002A78B5">
            <w:pPr>
              <w:jc w:val="right"/>
              <w:rPr>
                <w:rFonts w:ascii="Arial" w:hAnsi="Arial" w:cs="Arial"/>
                <w:b/>
                <w:sz w:val="17"/>
                <w:szCs w:val="17"/>
              </w:rPr>
            </w:pPr>
            <w:r>
              <w:rPr>
                <w:rFonts w:ascii="Arial" w:hAnsi="Arial" w:cs="Arial"/>
                <w:b/>
                <w:sz w:val="17"/>
                <w:szCs w:val="17"/>
              </w:rPr>
              <w:t>103,587,150</w:t>
            </w:r>
          </w:p>
        </w:tc>
      </w:tr>
      <w:tr w:rsidR="00AF02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F0204" w:rsidRPr="009D4479" w:rsidRDefault="00AF0204" w:rsidP="00AF0204">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sz w:val="17"/>
                <w:szCs w:val="17"/>
              </w:rPr>
            </w:pPr>
            <w:r w:rsidRPr="00AF0204">
              <w:rPr>
                <w:rFonts w:ascii="Arial" w:hAnsi="Arial" w:cs="Arial"/>
                <w:sz w:val="17"/>
                <w:szCs w:val="17"/>
              </w:rPr>
              <w:t>189,420</w:t>
            </w:r>
          </w:p>
        </w:tc>
        <w:tc>
          <w:tcPr>
            <w:tcW w:w="2180" w:type="dxa"/>
            <w:tcBorders>
              <w:top w:val="single" w:sz="4" w:space="0" w:color="auto"/>
              <w:left w:val="nil"/>
              <w:bottom w:val="single" w:sz="4" w:space="0" w:color="auto"/>
              <w:right w:val="single" w:sz="4" w:space="0" w:color="auto"/>
            </w:tcBorders>
            <w:shd w:val="clear" w:color="auto" w:fill="auto"/>
          </w:tcPr>
          <w:p w:rsidR="00AF0204" w:rsidRPr="007F4691" w:rsidRDefault="00AF0204" w:rsidP="00AF0204">
            <w:pPr>
              <w:jc w:val="right"/>
              <w:rPr>
                <w:rFonts w:ascii="Arial" w:hAnsi="Arial" w:cs="Arial"/>
                <w:sz w:val="17"/>
                <w:szCs w:val="17"/>
              </w:rPr>
            </w:pPr>
            <w:r w:rsidRPr="007F4691">
              <w:rPr>
                <w:rFonts w:ascii="Arial" w:hAnsi="Arial" w:cs="Arial"/>
                <w:sz w:val="17"/>
                <w:szCs w:val="17"/>
              </w:rPr>
              <w:t>472,983</w:t>
            </w:r>
          </w:p>
        </w:tc>
      </w:tr>
      <w:tr w:rsidR="00AF02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F0204" w:rsidRPr="009D4479" w:rsidRDefault="00AF0204" w:rsidP="00AF0204">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sz w:val="17"/>
                <w:szCs w:val="17"/>
              </w:rPr>
            </w:pPr>
            <w:r w:rsidRPr="00AF0204">
              <w:rPr>
                <w:rFonts w:ascii="Arial" w:hAnsi="Arial" w:cs="Arial"/>
                <w:sz w:val="17"/>
                <w:szCs w:val="17"/>
              </w:rPr>
              <w:t>730,955</w:t>
            </w:r>
          </w:p>
        </w:tc>
        <w:tc>
          <w:tcPr>
            <w:tcW w:w="2180" w:type="dxa"/>
            <w:tcBorders>
              <w:top w:val="single" w:sz="4" w:space="0" w:color="auto"/>
              <w:left w:val="nil"/>
              <w:bottom w:val="single" w:sz="4" w:space="0" w:color="auto"/>
              <w:right w:val="single" w:sz="4" w:space="0" w:color="auto"/>
            </w:tcBorders>
            <w:shd w:val="clear" w:color="auto" w:fill="auto"/>
          </w:tcPr>
          <w:p w:rsidR="00AF0204" w:rsidRPr="007F4691" w:rsidRDefault="00AF0204" w:rsidP="00AF0204">
            <w:pPr>
              <w:jc w:val="right"/>
              <w:rPr>
                <w:rFonts w:ascii="Arial" w:hAnsi="Arial" w:cs="Arial"/>
                <w:sz w:val="17"/>
                <w:szCs w:val="17"/>
              </w:rPr>
            </w:pPr>
            <w:r w:rsidRPr="007F4691">
              <w:rPr>
                <w:rFonts w:ascii="Arial" w:hAnsi="Arial" w:cs="Arial"/>
                <w:sz w:val="17"/>
                <w:szCs w:val="17"/>
              </w:rPr>
              <w:t>2,869,290</w:t>
            </w:r>
          </w:p>
        </w:tc>
      </w:tr>
      <w:tr w:rsidR="00AF02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F0204" w:rsidRPr="009D4479" w:rsidRDefault="00AF0204" w:rsidP="00AF0204">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sz w:val="17"/>
                <w:szCs w:val="17"/>
              </w:rPr>
            </w:pPr>
            <w:r w:rsidRPr="00AF0204">
              <w:rPr>
                <w:rFonts w:ascii="Arial" w:hAnsi="Arial" w:cs="Arial"/>
                <w:sz w:val="17"/>
                <w:szCs w:val="17"/>
              </w:rPr>
              <w:t>715,461</w:t>
            </w:r>
          </w:p>
        </w:tc>
        <w:tc>
          <w:tcPr>
            <w:tcW w:w="2180" w:type="dxa"/>
            <w:tcBorders>
              <w:top w:val="single" w:sz="4" w:space="0" w:color="auto"/>
              <w:left w:val="nil"/>
              <w:bottom w:val="single" w:sz="4" w:space="0" w:color="auto"/>
              <w:right w:val="single" w:sz="4" w:space="0" w:color="auto"/>
            </w:tcBorders>
            <w:shd w:val="clear" w:color="auto" w:fill="auto"/>
          </w:tcPr>
          <w:p w:rsidR="00AF0204" w:rsidRPr="007F4691" w:rsidRDefault="00AF0204" w:rsidP="00AF0204">
            <w:pPr>
              <w:jc w:val="right"/>
              <w:rPr>
                <w:rFonts w:ascii="Arial" w:hAnsi="Arial" w:cs="Arial"/>
                <w:sz w:val="17"/>
                <w:szCs w:val="17"/>
              </w:rPr>
            </w:pPr>
            <w:r w:rsidRPr="007F4691">
              <w:rPr>
                <w:rFonts w:ascii="Arial" w:hAnsi="Arial" w:cs="Arial"/>
                <w:sz w:val="17"/>
                <w:szCs w:val="17"/>
              </w:rPr>
              <w:t>3,043,869</w:t>
            </w:r>
          </w:p>
        </w:tc>
      </w:tr>
      <w:tr w:rsidR="00AF02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F0204" w:rsidRPr="009D4479" w:rsidRDefault="00AF0204" w:rsidP="00AF0204">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sz w:val="17"/>
                <w:szCs w:val="17"/>
              </w:rPr>
            </w:pPr>
            <w:r w:rsidRPr="00AF0204">
              <w:rPr>
                <w:rFonts w:ascii="Arial" w:hAnsi="Arial" w:cs="Arial"/>
                <w:sz w:val="17"/>
                <w:szCs w:val="17"/>
              </w:rPr>
              <w:t>34,308,585</w:t>
            </w:r>
          </w:p>
        </w:tc>
        <w:tc>
          <w:tcPr>
            <w:tcW w:w="2180" w:type="dxa"/>
            <w:tcBorders>
              <w:top w:val="single" w:sz="4" w:space="0" w:color="auto"/>
              <w:left w:val="nil"/>
              <w:bottom w:val="single" w:sz="4" w:space="0" w:color="auto"/>
              <w:right w:val="single" w:sz="4" w:space="0" w:color="auto"/>
            </w:tcBorders>
            <w:shd w:val="clear" w:color="auto" w:fill="auto"/>
          </w:tcPr>
          <w:p w:rsidR="00AF0204" w:rsidRPr="007F4691" w:rsidRDefault="00AF0204" w:rsidP="00AF0204">
            <w:pPr>
              <w:jc w:val="right"/>
              <w:rPr>
                <w:rFonts w:ascii="Arial" w:hAnsi="Arial" w:cs="Arial"/>
                <w:sz w:val="17"/>
                <w:szCs w:val="17"/>
              </w:rPr>
            </w:pPr>
            <w:r w:rsidRPr="007F4691">
              <w:rPr>
                <w:rFonts w:ascii="Arial" w:hAnsi="Arial" w:cs="Arial"/>
                <w:sz w:val="17"/>
                <w:szCs w:val="17"/>
              </w:rPr>
              <w:t>94,386,275</w:t>
            </w:r>
          </w:p>
        </w:tc>
      </w:tr>
      <w:tr w:rsidR="00AF02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F0204" w:rsidRPr="009D4479" w:rsidRDefault="00AF0204" w:rsidP="00AF0204">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sz w:val="17"/>
                <w:szCs w:val="17"/>
              </w:rPr>
            </w:pPr>
            <w:r w:rsidRPr="00AF0204">
              <w:rPr>
                <w:rFonts w:ascii="Arial" w:hAnsi="Arial" w:cs="Arial"/>
                <w:sz w:val="17"/>
                <w:szCs w:val="17"/>
              </w:rPr>
              <w:t>729,479</w:t>
            </w:r>
          </w:p>
        </w:tc>
        <w:tc>
          <w:tcPr>
            <w:tcW w:w="2180" w:type="dxa"/>
            <w:tcBorders>
              <w:top w:val="single" w:sz="4" w:space="0" w:color="auto"/>
              <w:left w:val="nil"/>
              <w:bottom w:val="single" w:sz="4" w:space="0" w:color="auto"/>
              <w:right w:val="single" w:sz="4" w:space="0" w:color="auto"/>
            </w:tcBorders>
            <w:shd w:val="clear" w:color="auto" w:fill="auto"/>
          </w:tcPr>
          <w:p w:rsidR="00AF0204" w:rsidRPr="007F4691" w:rsidRDefault="00AF0204" w:rsidP="00AF0204">
            <w:pPr>
              <w:jc w:val="right"/>
              <w:rPr>
                <w:rFonts w:ascii="Arial" w:hAnsi="Arial" w:cs="Arial"/>
                <w:sz w:val="17"/>
                <w:szCs w:val="17"/>
              </w:rPr>
            </w:pPr>
            <w:r w:rsidRPr="007F4691">
              <w:rPr>
                <w:rFonts w:ascii="Arial" w:hAnsi="Arial" w:cs="Arial"/>
                <w:sz w:val="17"/>
                <w:szCs w:val="17"/>
              </w:rPr>
              <w:t>1,890,089</w:t>
            </w:r>
          </w:p>
        </w:tc>
      </w:tr>
      <w:tr w:rsidR="00AF02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F0204" w:rsidRPr="009D4479" w:rsidRDefault="00AF0204" w:rsidP="00AF0204">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AF0204" w:rsidRPr="00AF0204" w:rsidRDefault="00AF0204" w:rsidP="00AF0204">
            <w:pPr>
              <w:jc w:val="right"/>
              <w:rPr>
                <w:rFonts w:ascii="Arial" w:hAnsi="Arial" w:cs="Arial"/>
                <w:sz w:val="17"/>
                <w:szCs w:val="17"/>
              </w:rPr>
            </w:pPr>
            <w:r w:rsidRPr="00AF0204">
              <w:rPr>
                <w:rFonts w:ascii="Arial" w:hAnsi="Arial" w:cs="Arial"/>
                <w:sz w:val="17"/>
                <w:szCs w:val="17"/>
              </w:rPr>
              <w:t>88,290</w:t>
            </w:r>
          </w:p>
        </w:tc>
        <w:tc>
          <w:tcPr>
            <w:tcW w:w="2180" w:type="dxa"/>
            <w:tcBorders>
              <w:top w:val="single" w:sz="4" w:space="0" w:color="auto"/>
              <w:left w:val="nil"/>
              <w:bottom w:val="single" w:sz="4" w:space="0" w:color="auto"/>
              <w:right w:val="single" w:sz="4" w:space="0" w:color="auto"/>
            </w:tcBorders>
            <w:shd w:val="clear" w:color="auto" w:fill="auto"/>
          </w:tcPr>
          <w:p w:rsidR="00AF0204" w:rsidRPr="007F4691" w:rsidRDefault="00AF0204" w:rsidP="00AF0204">
            <w:pPr>
              <w:jc w:val="right"/>
              <w:rPr>
                <w:rFonts w:ascii="Arial" w:hAnsi="Arial" w:cs="Arial"/>
                <w:sz w:val="17"/>
                <w:szCs w:val="17"/>
              </w:rPr>
            </w:pPr>
            <w:r w:rsidRPr="007F4691">
              <w:rPr>
                <w:rFonts w:ascii="Arial" w:hAnsi="Arial" w:cs="Arial"/>
                <w:sz w:val="17"/>
                <w:szCs w:val="17"/>
              </w:rPr>
              <w:t>117,585</w:t>
            </w:r>
          </w:p>
        </w:tc>
      </w:tr>
      <w:tr w:rsidR="005212A5" w:rsidRPr="002D70DA" w:rsidTr="002A78B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212A5" w:rsidRPr="009D4479" w:rsidRDefault="005212A5" w:rsidP="005212A5">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5212A5" w:rsidRPr="00155B42" w:rsidRDefault="00AF0204" w:rsidP="005212A5">
            <w:pPr>
              <w:jc w:val="right"/>
              <w:rPr>
                <w:rFonts w:ascii="Arial" w:hAnsi="Arial" w:cs="Arial"/>
                <w:sz w:val="17"/>
                <w:szCs w:val="17"/>
              </w:rPr>
            </w:pPr>
            <w:r w:rsidRPr="00AF0204">
              <w:rPr>
                <w:rFonts w:ascii="Arial" w:hAnsi="Arial" w:cs="Arial"/>
                <w:sz w:val="17"/>
                <w:szCs w:val="17"/>
              </w:rPr>
              <w:t>298,632</w:t>
            </w:r>
          </w:p>
        </w:tc>
        <w:tc>
          <w:tcPr>
            <w:tcW w:w="2180" w:type="dxa"/>
            <w:tcBorders>
              <w:top w:val="nil"/>
              <w:left w:val="nil"/>
              <w:bottom w:val="single" w:sz="4" w:space="0" w:color="auto"/>
              <w:right w:val="single" w:sz="4" w:space="0" w:color="auto"/>
            </w:tcBorders>
            <w:shd w:val="clear" w:color="auto" w:fill="auto"/>
          </w:tcPr>
          <w:p w:rsidR="005212A5" w:rsidRPr="007F4691" w:rsidRDefault="007F4691" w:rsidP="005212A5">
            <w:pPr>
              <w:jc w:val="right"/>
              <w:rPr>
                <w:rFonts w:ascii="Arial" w:hAnsi="Arial" w:cs="Arial"/>
                <w:sz w:val="17"/>
                <w:szCs w:val="17"/>
              </w:rPr>
            </w:pPr>
            <w:r w:rsidRPr="007F4691">
              <w:rPr>
                <w:rFonts w:ascii="Arial" w:hAnsi="Arial" w:cs="Arial"/>
                <w:sz w:val="17"/>
                <w:szCs w:val="17"/>
              </w:rPr>
              <w:t>807,058</w:t>
            </w:r>
          </w:p>
        </w:tc>
      </w:tr>
      <w:tr w:rsidR="00155B42"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155B42" w:rsidRPr="002D70DA" w:rsidRDefault="00155B42" w:rsidP="002A78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155B42" w:rsidRPr="005B5FB9" w:rsidRDefault="00AF0204" w:rsidP="002A78B5">
            <w:pPr>
              <w:jc w:val="right"/>
              <w:rPr>
                <w:rFonts w:ascii="Arial" w:hAnsi="Arial" w:cs="Arial"/>
                <w:b/>
                <w:bCs/>
                <w:color w:val="000000"/>
                <w:sz w:val="17"/>
                <w:szCs w:val="17"/>
                <w14:numForm w14:val="lining"/>
              </w:rPr>
            </w:pPr>
            <w:r w:rsidRPr="00AF0204">
              <w:rPr>
                <w:rFonts w:ascii="Arial" w:hAnsi="Arial" w:cs="Arial"/>
                <w:b/>
                <w:bCs/>
                <w:color w:val="000000"/>
                <w:sz w:val="17"/>
                <w:szCs w:val="17"/>
                <w14:numForm w14:val="lining"/>
              </w:rPr>
              <w:t>248,530,347</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55B42" w:rsidRPr="007F4691" w:rsidRDefault="007F4691" w:rsidP="002A78B5">
            <w:pPr>
              <w:jc w:val="right"/>
              <w:rPr>
                <w:rFonts w:ascii="Arial" w:hAnsi="Arial" w:cs="Arial"/>
                <w:b/>
                <w:sz w:val="17"/>
                <w:szCs w:val="17"/>
              </w:rPr>
            </w:pPr>
            <w:r w:rsidRPr="007F4691">
              <w:rPr>
                <w:rFonts w:ascii="Arial" w:hAnsi="Arial" w:cs="Arial"/>
                <w:b/>
                <w:sz w:val="17"/>
                <w:szCs w:val="17"/>
              </w:rPr>
              <w:t>595,554,433</w:t>
            </w:r>
          </w:p>
        </w:tc>
      </w:tr>
    </w:tbl>
    <w:p w:rsidR="00155B42" w:rsidRDefault="00155B42" w:rsidP="008D31C1">
      <w:pPr>
        <w:spacing w:before="80" w:line="250" w:lineRule="exact"/>
        <w:ind w:left="709"/>
        <w:jc w:val="both"/>
        <w:rPr>
          <w:rFonts w:ascii="Arial" w:eastAsia="Calibri" w:hAnsi="Arial" w:cs="Arial"/>
          <w:spacing w:val="-1"/>
          <w:sz w:val="17"/>
          <w:szCs w:val="17"/>
        </w:rPr>
      </w:pPr>
    </w:p>
    <w:p w:rsidR="00145CB3" w:rsidRDefault="00145CB3">
      <w:pPr>
        <w:rPr>
          <w:rFonts w:ascii="Arial" w:eastAsia="Calibri" w:hAnsi="Arial" w:cs="Arial"/>
          <w:spacing w:val="-1"/>
          <w:sz w:val="17"/>
          <w:szCs w:val="17"/>
        </w:rPr>
      </w:pPr>
    </w:p>
    <w:p w:rsidR="00907F0A" w:rsidRDefault="00907F0A" w:rsidP="0008166A">
      <w:pPr>
        <w:spacing w:before="80" w:line="250" w:lineRule="exact"/>
        <w:ind w:left="709"/>
        <w:jc w:val="both"/>
        <w:rPr>
          <w:rFonts w:ascii="Arial" w:eastAsia="Calibri" w:hAnsi="Arial" w:cs="Arial"/>
          <w:spacing w:val="-1"/>
          <w:sz w:val="17"/>
          <w:szCs w:val="17"/>
        </w:rPr>
      </w:pPr>
    </w:p>
    <w:p w:rsidR="00286C57" w:rsidRDefault="00286C57" w:rsidP="0008166A">
      <w:pPr>
        <w:spacing w:before="80" w:line="250" w:lineRule="exact"/>
        <w:ind w:left="709"/>
        <w:jc w:val="both"/>
        <w:rPr>
          <w:rFonts w:ascii="Arial" w:eastAsia="Calibri" w:hAnsi="Arial" w:cs="Arial"/>
          <w:spacing w:val="-1"/>
          <w:sz w:val="17"/>
          <w:szCs w:val="17"/>
        </w:rPr>
      </w:pPr>
    </w:p>
    <w:p w:rsidR="00286C57" w:rsidRDefault="00286C57" w:rsidP="0008166A">
      <w:pPr>
        <w:spacing w:before="80" w:line="250" w:lineRule="exact"/>
        <w:ind w:left="709"/>
        <w:jc w:val="both"/>
        <w:rPr>
          <w:rFonts w:ascii="Arial" w:eastAsia="Calibri" w:hAnsi="Arial" w:cs="Arial"/>
          <w:spacing w:val="-1"/>
          <w:sz w:val="17"/>
          <w:szCs w:val="17"/>
        </w:rPr>
      </w:pPr>
    </w:p>
    <w:p w:rsidR="00286C57" w:rsidRDefault="00286C57" w:rsidP="0008166A">
      <w:pPr>
        <w:spacing w:before="80" w:line="250" w:lineRule="exact"/>
        <w:ind w:left="709"/>
        <w:jc w:val="both"/>
        <w:rPr>
          <w:rFonts w:ascii="Arial" w:eastAsia="Calibri" w:hAnsi="Arial" w:cs="Arial"/>
          <w:spacing w:val="-1"/>
          <w:sz w:val="17"/>
          <w:szCs w:val="17"/>
        </w:rPr>
      </w:pPr>
    </w:p>
    <w:p w:rsidR="00286C57" w:rsidRDefault="00286C57" w:rsidP="0008166A">
      <w:pPr>
        <w:spacing w:before="80" w:line="250" w:lineRule="exact"/>
        <w:ind w:left="709"/>
        <w:jc w:val="both"/>
        <w:rPr>
          <w:rFonts w:ascii="Arial" w:eastAsia="Calibri" w:hAnsi="Arial" w:cs="Arial"/>
          <w:spacing w:val="-1"/>
          <w:sz w:val="17"/>
          <w:szCs w:val="17"/>
        </w:rPr>
      </w:pPr>
    </w:p>
    <w:p w:rsidR="00286C57" w:rsidRDefault="00286C57" w:rsidP="0008166A">
      <w:pPr>
        <w:spacing w:before="80" w:line="250" w:lineRule="exact"/>
        <w:ind w:left="709"/>
        <w:jc w:val="both"/>
        <w:rPr>
          <w:rFonts w:ascii="Arial" w:eastAsia="Calibri" w:hAnsi="Arial" w:cs="Arial"/>
          <w:spacing w:val="-1"/>
          <w:sz w:val="17"/>
          <w:szCs w:val="17"/>
        </w:rPr>
      </w:pPr>
    </w:p>
    <w:p w:rsidR="0008166A" w:rsidRDefault="0008166A" w:rsidP="0008166A">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lastRenderedPageBreak/>
        <w:t xml:space="preserve">Se informa de manera agrupada el rubro de </w:t>
      </w:r>
      <w:r>
        <w:rPr>
          <w:rFonts w:ascii="Arial" w:eastAsia="Calibri" w:hAnsi="Arial" w:cs="Arial"/>
          <w:spacing w:val="-1"/>
          <w:sz w:val="17"/>
          <w:szCs w:val="17"/>
        </w:rPr>
        <w:t>Activos Intangibles</w:t>
      </w:r>
      <w:r w:rsidRPr="008918A4">
        <w:rPr>
          <w:rFonts w:ascii="Arial" w:eastAsia="Calibri" w:hAnsi="Arial" w:cs="Arial"/>
          <w:spacing w:val="-1"/>
          <w:sz w:val="17"/>
          <w:szCs w:val="17"/>
        </w:rPr>
        <w:t xml:space="preserve">, el monto al 31 de diciembre del </w:t>
      </w:r>
      <w:r w:rsidR="00582811">
        <w:rPr>
          <w:rFonts w:ascii="Arial" w:eastAsia="Calibri" w:hAnsi="Arial" w:cs="Arial"/>
          <w:spacing w:val="-1"/>
          <w:sz w:val="17"/>
          <w:szCs w:val="17"/>
        </w:rPr>
        <w:t>2017</w:t>
      </w:r>
      <w:r w:rsidRPr="008918A4">
        <w:rPr>
          <w:rFonts w:ascii="Arial" w:eastAsia="Calibri" w:hAnsi="Arial" w:cs="Arial"/>
          <w:spacing w:val="-1"/>
          <w:sz w:val="17"/>
          <w:szCs w:val="17"/>
        </w:rPr>
        <w:t>:</w:t>
      </w:r>
    </w:p>
    <w:p w:rsidR="00874EC4" w:rsidRPr="008918A4" w:rsidRDefault="00874EC4" w:rsidP="0008166A">
      <w:pPr>
        <w:spacing w:before="80" w:line="250" w:lineRule="exact"/>
        <w:ind w:left="709"/>
        <w:jc w:val="both"/>
        <w:rPr>
          <w:rFonts w:ascii="Arial" w:eastAsia="Calibri" w:hAnsi="Arial" w:cs="Arial"/>
          <w:spacing w:val="-1"/>
          <w:sz w:val="17"/>
          <w:szCs w:val="17"/>
        </w:rPr>
      </w:pPr>
    </w:p>
    <w:p w:rsidR="002A78B5" w:rsidRPr="002D70DA" w:rsidRDefault="002A78B5" w:rsidP="002A78B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74EC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74EC4" w:rsidRPr="002D70DA" w:rsidRDefault="00874EC4" w:rsidP="00874EC4">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74EC4" w:rsidRPr="002D70DA" w:rsidRDefault="00874EC4" w:rsidP="00874EC4">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74EC4" w:rsidRPr="002D70DA" w:rsidRDefault="00874EC4" w:rsidP="00874EC4">
            <w:pPr>
              <w:jc w:val="center"/>
              <w:rPr>
                <w:rFonts w:ascii="Arial" w:hAnsi="Arial" w:cs="Arial"/>
                <w:b/>
                <w:bCs/>
                <w:color w:val="000000"/>
                <w:sz w:val="17"/>
                <w:szCs w:val="17"/>
              </w:rPr>
            </w:pPr>
            <w:r>
              <w:rPr>
                <w:rFonts w:ascii="Arial" w:hAnsi="Arial" w:cs="Arial"/>
                <w:b/>
                <w:bCs/>
                <w:color w:val="000000"/>
                <w:sz w:val="17"/>
                <w:szCs w:val="17"/>
              </w:rPr>
              <w:t>2016</w:t>
            </w:r>
          </w:p>
        </w:tc>
      </w:tr>
      <w:tr w:rsidR="00D83EE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3EE7" w:rsidRPr="006C5E04" w:rsidRDefault="00D83EE7" w:rsidP="00D83EE7">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b/>
                <w:sz w:val="17"/>
                <w:szCs w:val="17"/>
              </w:rPr>
            </w:pPr>
            <w:r w:rsidRPr="00D83EE7">
              <w:rPr>
                <w:rFonts w:ascii="Arial" w:hAnsi="Arial" w:cs="Arial"/>
                <w:b/>
                <w:sz w:val="17"/>
                <w:szCs w:val="17"/>
              </w:rPr>
              <w:t>160,223,009</w:t>
            </w:r>
          </w:p>
        </w:tc>
        <w:tc>
          <w:tcPr>
            <w:tcW w:w="2180" w:type="dxa"/>
            <w:tcBorders>
              <w:top w:val="single" w:sz="4" w:space="0" w:color="auto"/>
              <w:left w:val="nil"/>
              <w:bottom w:val="single" w:sz="4" w:space="0" w:color="auto"/>
              <w:right w:val="single" w:sz="4" w:space="0" w:color="auto"/>
            </w:tcBorders>
            <w:shd w:val="clear" w:color="auto" w:fill="auto"/>
          </w:tcPr>
          <w:p w:rsidR="00D83EE7" w:rsidRPr="00874EC4" w:rsidRDefault="00D83EE7" w:rsidP="00D83EE7">
            <w:pPr>
              <w:jc w:val="right"/>
              <w:rPr>
                <w:rFonts w:ascii="Arial" w:hAnsi="Arial" w:cs="Arial"/>
                <w:b/>
                <w:sz w:val="17"/>
                <w:szCs w:val="17"/>
              </w:rPr>
            </w:pPr>
            <w:r w:rsidRPr="00874EC4">
              <w:rPr>
                <w:rFonts w:ascii="Arial" w:hAnsi="Arial" w:cs="Arial"/>
                <w:b/>
                <w:sz w:val="17"/>
                <w:szCs w:val="17"/>
              </w:rPr>
              <w:t>129,465,652</w:t>
            </w:r>
          </w:p>
        </w:tc>
      </w:tr>
      <w:tr w:rsidR="00D83EE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3EE7" w:rsidRPr="006C5E04" w:rsidRDefault="00D83EE7" w:rsidP="00D83EE7">
            <w:pPr>
              <w:rPr>
                <w:rFonts w:ascii="Arial" w:hAnsi="Arial" w:cs="Arial"/>
                <w:b/>
                <w:sz w:val="17"/>
                <w:szCs w:val="17"/>
              </w:rPr>
            </w:pPr>
            <w:r w:rsidRPr="00874EC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b/>
                <w:sz w:val="17"/>
                <w:szCs w:val="17"/>
              </w:rPr>
            </w:pPr>
            <w:r w:rsidRPr="00D83EE7">
              <w:rPr>
                <w:rFonts w:ascii="Arial" w:hAnsi="Arial" w:cs="Arial"/>
                <w:b/>
                <w:sz w:val="17"/>
                <w:szCs w:val="17"/>
              </w:rPr>
              <w:t>16,253,404</w:t>
            </w:r>
          </w:p>
        </w:tc>
        <w:tc>
          <w:tcPr>
            <w:tcW w:w="2180" w:type="dxa"/>
            <w:tcBorders>
              <w:top w:val="single" w:sz="4" w:space="0" w:color="auto"/>
              <w:left w:val="nil"/>
              <w:bottom w:val="single" w:sz="4" w:space="0" w:color="auto"/>
              <w:right w:val="single" w:sz="4" w:space="0" w:color="auto"/>
            </w:tcBorders>
            <w:shd w:val="clear" w:color="auto" w:fill="auto"/>
          </w:tcPr>
          <w:p w:rsidR="00D83EE7" w:rsidRPr="00874EC4" w:rsidRDefault="00D83EE7" w:rsidP="00D83EE7">
            <w:pPr>
              <w:jc w:val="right"/>
              <w:rPr>
                <w:rFonts w:ascii="Arial" w:hAnsi="Arial" w:cs="Arial"/>
                <w:b/>
                <w:sz w:val="17"/>
                <w:szCs w:val="17"/>
              </w:rPr>
            </w:pPr>
            <w:r w:rsidRPr="00874EC4">
              <w:rPr>
                <w:rFonts w:ascii="Arial" w:hAnsi="Arial" w:cs="Arial"/>
                <w:b/>
                <w:sz w:val="17"/>
                <w:szCs w:val="17"/>
              </w:rPr>
              <w:t>16,253,404</w:t>
            </w:r>
          </w:p>
        </w:tc>
      </w:tr>
      <w:tr w:rsidR="00D83EE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3EE7" w:rsidRPr="00874EC4" w:rsidRDefault="00D83EE7" w:rsidP="00D83EE7">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b/>
                <w:sz w:val="17"/>
                <w:szCs w:val="17"/>
              </w:rPr>
            </w:pPr>
            <w:r w:rsidRPr="00D83EE7">
              <w:rPr>
                <w:rFonts w:ascii="Arial" w:hAnsi="Arial" w:cs="Arial"/>
                <w:b/>
                <w:sz w:val="17"/>
                <w:szCs w:val="17"/>
              </w:rPr>
              <w:t>563,702</w:t>
            </w:r>
          </w:p>
        </w:tc>
        <w:tc>
          <w:tcPr>
            <w:tcW w:w="2180" w:type="dxa"/>
            <w:tcBorders>
              <w:top w:val="single" w:sz="4" w:space="0" w:color="auto"/>
              <w:left w:val="nil"/>
              <w:bottom w:val="single" w:sz="4" w:space="0" w:color="auto"/>
              <w:right w:val="single" w:sz="4" w:space="0" w:color="auto"/>
            </w:tcBorders>
            <w:shd w:val="clear" w:color="auto" w:fill="auto"/>
          </w:tcPr>
          <w:p w:rsidR="00D83EE7" w:rsidRPr="00874EC4" w:rsidRDefault="00D83EE7" w:rsidP="00D83EE7">
            <w:pPr>
              <w:jc w:val="right"/>
              <w:rPr>
                <w:rFonts w:ascii="Arial" w:hAnsi="Arial" w:cs="Arial"/>
                <w:b/>
                <w:sz w:val="17"/>
                <w:szCs w:val="17"/>
              </w:rPr>
            </w:pPr>
          </w:p>
        </w:tc>
      </w:tr>
      <w:tr w:rsidR="00D83EE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3EE7" w:rsidRPr="006C5E04" w:rsidRDefault="00D83EE7" w:rsidP="00D83EE7">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D83EE7" w:rsidRPr="00335F9C" w:rsidRDefault="00D83EE7" w:rsidP="00D83EE7">
            <w:pPr>
              <w:jc w:val="right"/>
              <w:rPr>
                <w:rFonts w:ascii="Arial" w:hAnsi="Arial" w:cs="Arial"/>
                <w:b/>
                <w:sz w:val="17"/>
                <w:szCs w:val="17"/>
              </w:rPr>
            </w:pPr>
            <w:r>
              <w:rPr>
                <w:rFonts w:ascii="Arial" w:hAnsi="Arial" w:cs="Arial"/>
                <w:b/>
                <w:sz w:val="17"/>
                <w:szCs w:val="17"/>
              </w:rPr>
              <w:t>30,412,244</w:t>
            </w:r>
          </w:p>
        </w:tc>
        <w:tc>
          <w:tcPr>
            <w:tcW w:w="2180" w:type="dxa"/>
            <w:tcBorders>
              <w:top w:val="single" w:sz="4" w:space="0" w:color="auto"/>
              <w:left w:val="nil"/>
              <w:bottom w:val="single" w:sz="4" w:space="0" w:color="auto"/>
              <w:right w:val="single" w:sz="4" w:space="0" w:color="auto"/>
            </w:tcBorders>
            <w:shd w:val="clear" w:color="auto" w:fill="auto"/>
          </w:tcPr>
          <w:p w:rsidR="00D83EE7" w:rsidRPr="00335F9C" w:rsidRDefault="00D83EE7" w:rsidP="00D83EE7">
            <w:pPr>
              <w:jc w:val="right"/>
              <w:rPr>
                <w:rFonts w:ascii="Arial" w:hAnsi="Arial" w:cs="Arial"/>
                <w:b/>
                <w:sz w:val="17"/>
                <w:szCs w:val="17"/>
              </w:rPr>
            </w:pPr>
            <w:r>
              <w:rPr>
                <w:rFonts w:ascii="Arial" w:hAnsi="Arial" w:cs="Arial"/>
                <w:b/>
                <w:sz w:val="17"/>
                <w:szCs w:val="17"/>
              </w:rPr>
              <w:t>26,354,413</w:t>
            </w:r>
          </w:p>
        </w:tc>
      </w:tr>
      <w:tr w:rsidR="00D83EE7"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3EE7" w:rsidRPr="009D4479" w:rsidRDefault="00D83EE7" w:rsidP="00D83EE7">
            <w:pPr>
              <w:ind w:left="709"/>
              <w:rPr>
                <w:rFonts w:ascii="Arial" w:hAnsi="Arial" w:cs="Arial"/>
                <w:sz w:val="17"/>
                <w:szCs w:val="17"/>
              </w:rPr>
            </w:pPr>
            <w:r w:rsidRPr="00874EC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3,932</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3,932</w:t>
            </w:r>
          </w:p>
        </w:tc>
      </w:tr>
      <w:tr w:rsidR="00D83EE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3EE7" w:rsidRPr="009D4479" w:rsidRDefault="00D83EE7" w:rsidP="00D83EE7">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261,120</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33,905</w:t>
            </w:r>
          </w:p>
        </w:tc>
      </w:tr>
      <w:tr w:rsidR="00D83EE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3EE7" w:rsidRPr="009D4479" w:rsidRDefault="00D83EE7" w:rsidP="00D83EE7">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29,805,142</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25,975,371</w:t>
            </w:r>
          </w:p>
        </w:tc>
      </w:tr>
      <w:tr w:rsidR="00D83EE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3EE7" w:rsidRPr="009D4479" w:rsidRDefault="00D83EE7" w:rsidP="00D83EE7">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193,806</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250,215</w:t>
            </w:r>
          </w:p>
        </w:tc>
      </w:tr>
      <w:tr w:rsidR="00D83EE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3EE7" w:rsidRPr="006C5E04" w:rsidRDefault="00D83EE7" w:rsidP="00D83EE7">
            <w:pPr>
              <w:ind w:left="709"/>
              <w:rPr>
                <w:rFonts w:ascii="Arial" w:hAnsi="Arial" w:cs="Arial"/>
                <w:sz w:val="17"/>
                <w:szCs w:val="17"/>
              </w:rPr>
            </w:pPr>
            <w:r w:rsidRPr="00874EC4">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72,669</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72,669</w:t>
            </w:r>
          </w:p>
        </w:tc>
      </w:tr>
      <w:tr w:rsidR="00D83EE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83EE7" w:rsidRPr="006C5E04" w:rsidRDefault="00D83EE7" w:rsidP="00D83EE7">
            <w:pPr>
              <w:ind w:left="709"/>
              <w:rPr>
                <w:rFonts w:ascii="Arial" w:hAnsi="Arial" w:cs="Arial"/>
                <w:sz w:val="17"/>
                <w:szCs w:val="17"/>
              </w:rPr>
            </w:pPr>
            <w:r w:rsidRPr="00874EC4">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75,574</w:t>
            </w:r>
          </w:p>
        </w:tc>
        <w:tc>
          <w:tcPr>
            <w:tcW w:w="2180" w:type="dxa"/>
            <w:tcBorders>
              <w:top w:val="single" w:sz="4" w:space="0" w:color="auto"/>
              <w:left w:val="nil"/>
              <w:bottom w:val="single" w:sz="4" w:space="0" w:color="auto"/>
              <w:right w:val="single" w:sz="4" w:space="0" w:color="auto"/>
            </w:tcBorders>
            <w:shd w:val="clear" w:color="auto" w:fill="auto"/>
          </w:tcPr>
          <w:p w:rsidR="00D83EE7" w:rsidRPr="00D83EE7" w:rsidRDefault="00D83EE7" w:rsidP="00D83EE7">
            <w:pPr>
              <w:jc w:val="right"/>
              <w:rPr>
                <w:rFonts w:ascii="Arial" w:hAnsi="Arial" w:cs="Arial"/>
                <w:sz w:val="17"/>
                <w:szCs w:val="17"/>
              </w:rPr>
            </w:pPr>
            <w:r w:rsidRPr="00D83EE7">
              <w:rPr>
                <w:rFonts w:ascii="Arial" w:hAnsi="Arial" w:cs="Arial"/>
                <w:sz w:val="17"/>
                <w:szCs w:val="17"/>
              </w:rPr>
              <w:t>18,320</w:t>
            </w:r>
          </w:p>
        </w:tc>
      </w:tr>
      <w:tr w:rsidR="00D83EE7"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D83EE7" w:rsidRPr="002D70DA" w:rsidRDefault="00D83EE7" w:rsidP="00D83EE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D83EE7" w:rsidRPr="005B5FB9" w:rsidRDefault="00D83EE7" w:rsidP="00D83EE7">
            <w:pPr>
              <w:jc w:val="right"/>
              <w:rPr>
                <w:rFonts w:ascii="Arial" w:hAnsi="Arial" w:cs="Arial"/>
                <w:b/>
                <w:bCs/>
                <w:color w:val="000000"/>
                <w:sz w:val="17"/>
                <w:szCs w:val="17"/>
                <w14:numForm w14:val="lining"/>
              </w:rPr>
            </w:pPr>
            <w:r w:rsidRPr="00D83EE7">
              <w:rPr>
                <w:rFonts w:ascii="Arial" w:hAnsi="Arial" w:cs="Arial"/>
                <w:b/>
                <w:bCs/>
                <w:color w:val="000000"/>
                <w:sz w:val="17"/>
                <w:szCs w:val="17"/>
                <w14:numForm w14:val="lining"/>
              </w:rPr>
              <w:t>207,452,358</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D83EE7" w:rsidRPr="005B5FB9" w:rsidRDefault="00D83EE7" w:rsidP="00D83EE7">
            <w:pPr>
              <w:jc w:val="right"/>
              <w:rPr>
                <w:rFonts w:ascii="Arial" w:hAnsi="Arial" w:cs="Arial"/>
                <w:b/>
                <w:bCs/>
                <w:color w:val="000000"/>
                <w:sz w:val="17"/>
                <w:szCs w:val="17"/>
                <w14:numForm w14:val="lining"/>
              </w:rPr>
            </w:pPr>
            <w:r w:rsidRPr="00D83EE7">
              <w:rPr>
                <w:rFonts w:ascii="Arial" w:hAnsi="Arial" w:cs="Arial"/>
                <w:b/>
                <w:bCs/>
                <w:color w:val="000000"/>
                <w:sz w:val="17"/>
                <w:szCs w:val="17"/>
                <w14:numForm w14:val="lining"/>
              </w:rPr>
              <w:t>172,073,469</w:t>
            </w:r>
          </w:p>
        </w:tc>
      </w:tr>
    </w:tbl>
    <w:p w:rsidR="002A78B5" w:rsidRDefault="002A78B5" w:rsidP="006335BE">
      <w:pPr>
        <w:spacing w:before="80" w:line="250" w:lineRule="exact"/>
        <w:ind w:left="709"/>
        <w:jc w:val="both"/>
        <w:rPr>
          <w:rFonts w:ascii="Arial" w:eastAsia="Calibri" w:hAnsi="Arial" w:cs="Arial"/>
          <w:spacing w:val="-1"/>
          <w:sz w:val="17"/>
          <w:szCs w:val="17"/>
        </w:rPr>
      </w:pPr>
    </w:p>
    <w:p w:rsidR="002B2035" w:rsidRDefault="002B2035" w:rsidP="004B30CC">
      <w:pPr>
        <w:spacing w:before="80" w:line="250" w:lineRule="exact"/>
        <w:ind w:left="709"/>
        <w:jc w:val="both"/>
        <w:rPr>
          <w:rFonts w:ascii="Arial" w:eastAsia="Calibri" w:hAnsi="Arial" w:cs="Arial"/>
          <w:spacing w:val="-1"/>
          <w:sz w:val="17"/>
          <w:szCs w:val="17"/>
        </w:rPr>
      </w:pPr>
    </w:p>
    <w:p w:rsidR="00D718EB" w:rsidRPr="002D70DA" w:rsidRDefault="00D718EB" w:rsidP="0081239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307FA8"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307FA8">
        <w:rPr>
          <w:rFonts w:ascii="Arial" w:eastAsia="Calibri" w:hAnsi="Arial" w:cs="Arial"/>
          <w:spacing w:val="-1"/>
          <w:sz w:val="17"/>
          <w:szCs w:val="17"/>
        </w:rPr>
        <w:t xml:space="preserve">que al cierre del ejercicio </w:t>
      </w:r>
      <w:r w:rsidR="00582811">
        <w:rPr>
          <w:rFonts w:ascii="Arial" w:eastAsia="Calibri" w:hAnsi="Arial" w:cs="Arial"/>
          <w:spacing w:val="-1"/>
          <w:sz w:val="17"/>
          <w:szCs w:val="17"/>
        </w:rPr>
        <w:t>2017</w:t>
      </w:r>
      <w:r w:rsidR="00307FA8">
        <w:rPr>
          <w:rFonts w:ascii="Arial" w:eastAsia="Calibri" w:hAnsi="Arial" w:cs="Arial"/>
          <w:spacing w:val="-1"/>
          <w:sz w:val="17"/>
          <w:szCs w:val="17"/>
        </w:rPr>
        <w:t xml:space="preserve">, el saldo del rubro </w:t>
      </w:r>
      <w:r w:rsidR="00307FA8" w:rsidRPr="00307FA8">
        <w:rPr>
          <w:rFonts w:ascii="Arial" w:eastAsia="Calibri" w:hAnsi="Arial" w:cs="Arial"/>
          <w:spacing w:val="-1"/>
          <w:sz w:val="17"/>
          <w:szCs w:val="17"/>
        </w:rPr>
        <w:t>Estimación por Pérdida o Deterioro de Activos no Circulantes</w:t>
      </w:r>
      <w:r w:rsidR="00307FA8">
        <w:rPr>
          <w:rFonts w:ascii="Arial" w:eastAsia="Calibri" w:hAnsi="Arial" w:cs="Arial"/>
          <w:spacing w:val="-1"/>
          <w:sz w:val="17"/>
          <w:szCs w:val="17"/>
        </w:rPr>
        <w:t xml:space="preserve"> es de $0.00</w:t>
      </w:r>
    </w:p>
    <w:p w:rsidR="006B1D2C" w:rsidRDefault="006B1D2C">
      <w:pPr>
        <w:rPr>
          <w:rFonts w:ascii="Arial" w:eastAsia="Calibri" w:hAnsi="Arial" w:cs="Arial"/>
          <w:b/>
          <w:spacing w:val="-1"/>
          <w:sz w:val="17"/>
          <w:szCs w:val="17"/>
        </w:rPr>
      </w:pPr>
    </w:p>
    <w:p w:rsidR="006335BE" w:rsidRPr="002D70DA" w:rsidRDefault="006335BE" w:rsidP="0081239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r w:rsidR="00447D79">
        <w:rPr>
          <w:rFonts w:ascii="Arial" w:eastAsia="Calibri" w:hAnsi="Arial" w:cs="Arial"/>
          <w:b/>
          <w:spacing w:val="-1"/>
          <w:sz w:val="17"/>
          <w:szCs w:val="17"/>
        </w:rPr>
        <w:t xml:space="preserve"> no Circulantes</w:t>
      </w:r>
    </w:p>
    <w:p w:rsidR="00DD3DB3" w:rsidRPr="00DD3DB3" w:rsidRDefault="00DD3DB3" w:rsidP="00DD3DB3">
      <w:pPr>
        <w:spacing w:before="80" w:line="250" w:lineRule="exact"/>
        <w:ind w:left="709"/>
        <w:jc w:val="both"/>
        <w:rPr>
          <w:rFonts w:ascii="Arial" w:eastAsia="Calibri" w:hAnsi="Arial" w:cs="Arial"/>
          <w:spacing w:val="-1"/>
          <w:sz w:val="17"/>
          <w:szCs w:val="17"/>
        </w:rPr>
      </w:pPr>
      <w:r w:rsidRPr="00DD3DB3">
        <w:rPr>
          <w:rFonts w:ascii="Arial" w:eastAsia="Calibri" w:hAnsi="Arial" w:cs="Arial"/>
          <w:spacing w:val="-1"/>
          <w:sz w:val="17"/>
          <w:szCs w:val="17"/>
        </w:rPr>
        <w:t xml:space="preserve">Se informa </w:t>
      </w:r>
      <w:r w:rsidR="009F1599">
        <w:rPr>
          <w:rFonts w:ascii="Arial" w:eastAsia="Calibri" w:hAnsi="Arial" w:cs="Arial"/>
          <w:spacing w:val="-1"/>
          <w:sz w:val="17"/>
          <w:szCs w:val="17"/>
        </w:rPr>
        <w:t xml:space="preserve">de la cuenta de </w:t>
      </w:r>
      <w:r w:rsidR="009F1599" w:rsidRPr="009F1599">
        <w:rPr>
          <w:rFonts w:ascii="Arial" w:eastAsia="Calibri" w:hAnsi="Arial" w:cs="Arial"/>
          <w:spacing w:val="-1"/>
          <w:sz w:val="17"/>
          <w:szCs w:val="17"/>
        </w:rPr>
        <w:t xml:space="preserve">Otros Activos no Circulantes </w:t>
      </w:r>
      <w:r w:rsidR="009F1599">
        <w:rPr>
          <w:rFonts w:ascii="Arial" w:eastAsia="Calibri" w:hAnsi="Arial" w:cs="Arial"/>
          <w:spacing w:val="-1"/>
          <w:sz w:val="17"/>
          <w:szCs w:val="17"/>
        </w:rPr>
        <w:t>el saldo</w:t>
      </w:r>
      <w:r w:rsidRPr="00DD3DB3">
        <w:rPr>
          <w:rFonts w:ascii="Arial" w:eastAsia="Calibri" w:hAnsi="Arial" w:cs="Arial"/>
          <w:spacing w:val="-1"/>
          <w:sz w:val="17"/>
          <w:szCs w:val="17"/>
        </w:rPr>
        <w:t xml:space="preserve"> al 31 de diciembre del </w:t>
      </w:r>
      <w:r w:rsidR="00582811">
        <w:rPr>
          <w:rFonts w:ascii="Arial" w:eastAsia="Calibri" w:hAnsi="Arial" w:cs="Arial"/>
          <w:spacing w:val="-1"/>
          <w:sz w:val="17"/>
          <w:szCs w:val="17"/>
        </w:rPr>
        <w:t>2017</w:t>
      </w:r>
      <w:r w:rsidRPr="00DD3DB3">
        <w:rPr>
          <w:rFonts w:ascii="Arial" w:eastAsia="Calibri" w:hAnsi="Arial" w:cs="Arial"/>
          <w:spacing w:val="-1"/>
          <w:sz w:val="17"/>
          <w:szCs w:val="17"/>
        </w:rPr>
        <w:t>:</w:t>
      </w:r>
    </w:p>
    <w:p w:rsidR="0064728F" w:rsidRDefault="0064728F" w:rsidP="007B1AB6">
      <w:pPr>
        <w:autoSpaceDE w:val="0"/>
        <w:autoSpaceDN w:val="0"/>
        <w:adjustRightInd w:val="0"/>
        <w:spacing w:before="240" w:after="120"/>
        <w:rPr>
          <w:rFonts w:ascii="Arial" w:eastAsia="Calibri" w:hAnsi="Arial" w:cs="Arial"/>
          <w:spacing w:val="-1"/>
          <w:sz w:val="17"/>
          <w:szCs w:val="17"/>
        </w:rPr>
      </w:pP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64728F" w:rsidRPr="002D70DA" w:rsidTr="0064728F">
        <w:trPr>
          <w:trHeight w:val="349"/>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4728F" w:rsidRPr="002D70DA" w:rsidRDefault="0064728F" w:rsidP="00F2042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728F" w:rsidRPr="002D70DA" w:rsidRDefault="00582811" w:rsidP="00F2042B">
            <w:pPr>
              <w:jc w:val="center"/>
              <w:rPr>
                <w:rFonts w:ascii="Arial" w:hAnsi="Arial" w:cs="Arial"/>
                <w:b/>
                <w:bCs/>
                <w:color w:val="000000"/>
                <w:sz w:val="17"/>
                <w:szCs w:val="17"/>
              </w:rPr>
            </w:pPr>
            <w:r>
              <w:rPr>
                <w:rFonts w:ascii="Arial" w:hAnsi="Arial" w:cs="Arial"/>
                <w:b/>
                <w:bCs/>
                <w:color w:val="000000"/>
                <w:sz w:val="17"/>
                <w:szCs w:val="17"/>
              </w:rPr>
              <w:t>2017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4728F" w:rsidRPr="002D70DA" w:rsidRDefault="00582811" w:rsidP="00F2042B">
            <w:pPr>
              <w:jc w:val="center"/>
              <w:rPr>
                <w:rFonts w:ascii="Arial" w:hAnsi="Arial" w:cs="Arial"/>
                <w:b/>
                <w:bCs/>
                <w:color w:val="000000"/>
                <w:sz w:val="17"/>
                <w:szCs w:val="17"/>
              </w:rPr>
            </w:pPr>
            <w:r>
              <w:rPr>
                <w:rFonts w:ascii="Arial" w:hAnsi="Arial" w:cs="Arial"/>
                <w:b/>
                <w:bCs/>
                <w:color w:val="000000"/>
                <w:sz w:val="17"/>
                <w:szCs w:val="17"/>
              </w:rPr>
              <w:t>2016</w:t>
            </w:r>
          </w:p>
        </w:tc>
      </w:tr>
      <w:tr w:rsidR="007B1AB6" w:rsidRPr="002D70DA" w:rsidTr="0064728F">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AB6" w:rsidRPr="007B1AB6" w:rsidRDefault="007B1AB6" w:rsidP="007B1AB6">
            <w:pPr>
              <w:rPr>
                <w:rFonts w:ascii="Arial" w:hAnsi="Arial" w:cs="Arial"/>
                <w:b/>
                <w:bCs/>
                <w:color w:val="000000"/>
                <w:sz w:val="17"/>
                <w:szCs w:val="17"/>
              </w:rPr>
            </w:pPr>
            <w:r w:rsidRPr="007B1AB6">
              <w:rPr>
                <w:rFonts w:ascii="Arial" w:hAnsi="Arial" w:cs="Arial"/>
                <w:b/>
                <w:bCs/>
                <w:color w:val="000000"/>
                <w:sz w:val="17"/>
                <w:szCs w:val="17"/>
              </w:rPr>
              <w:t>Poder Ejecutivo</w:t>
            </w:r>
          </w:p>
        </w:tc>
        <w:tc>
          <w:tcPr>
            <w:tcW w:w="2091" w:type="dxa"/>
            <w:tcBorders>
              <w:top w:val="single" w:sz="4" w:space="0" w:color="auto"/>
              <w:left w:val="nil"/>
              <w:bottom w:val="single" w:sz="4" w:space="0" w:color="auto"/>
              <w:right w:val="single" w:sz="4" w:space="0" w:color="auto"/>
            </w:tcBorders>
            <w:shd w:val="clear" w:color="auto" w:fill="auto"/>
          </w:tcPr>
          <w:p w:rsidR="007B1AB6" w:rsidRPr="007B1AB6" w:rsidRDefault="007B1AB6" w:rsidP="007B1AB6">
            <w:pPr>
              <w:jc w:val="right"/>
              <w:rPr>
                <w:rFonts w:ascii="Arial" w:hAnsi="Arial" w:cs="Arial"/>
                <w:sz w:val="17"/>
                <w:szCs w:val="17"/>
              </w:rPr>
            </w:pPr>
            <w:r w:rsidRPr="007B1AB6">
              <w:rPr>
                <w:rFonts w:ascii="Arial" w:hAnsi="Arial" w:cs="Arial"/>
                <w:sz w:val="17"/>
                <w:szCs w:val="17"/>
              </w:rPr>
              <w:t>8,753,055,709</w:t>
            </w: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7B1AB6" w:rsidRPr="00F5716A" w:rsidRDefault="007B1AB6" w:rsidP="007B1AB6">
            <w:pPr>
              <w:jc w:val="right"/>
              <w:rPr>
                <w:rFonts w:ascii="Arial" w:hAnsi="Arial" w:cs="Arial"/>
                <w:sz w:val="17"/>
                <w:szCs w:val="17"/>
              </w:rPr>
            </w:pPr>
            <w:r w:rsidRPr="0064728F">
              <w:rPr>
                <w:rFonts w:ascii="Arial" w:hAnsi="Arial" w:cs="Arial"/>
                <w:sz w:val="17"/>
                <w:szCs w:val="17"/>
              </w:rPr>
              <w:t>11,190,404,025</w:t>
            </w:r>
          </w:p>
        </w:tc>
      </w:tr>
      <w:tr w:rsidR="007B1AB6" w:rsidRPr="002D70DA" w:rsidTr="0064728F">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rsidR="007B1AB6" w:rsidRPr="007B1AB6" w:rsidRDefault="007B1AB6" w:rsidP="007B1AB6">
            <w:pPr>
              <w:rPr>
                <w:rFonts w:ascii="Arial" w:hAnsi="Arial" w:cs="Arial"/>
                <w:b/>
                <w:bCs/>
                <w:color w:val="000000"/>
                <w:sz w:val="17"/>
                <w:szCs w:val="17"/>
              </w:rPr>
            </w:pPr>
            <w:r w:rsidRPr="007B1AB6">
              <w:rPr>
                <w:rFonts w:ascii="Arial" w:hAnsi="Arial" w:cs="Arial"/>
                <w:b/>
                <w:bCs/>
                <w:color w:val="000000"/>
                <w:sz w:val="17"/>
                <w:szCs w:val="17"/>
              </w:rPr>
              <w:t>Poder Judicial</w:t>
            </w:r>
          </w:p>
        </w:tc>
        <w:tc>
          <w:tcPr>
            <w:tcW w:w="2091" w:type="dxa"/>
            <w:tcBorders>
              <w:top w:val="single" w:sz="4" w:space="0" w:color="auto"/>
              <w:left w:val="nil"/>
              <w:bottom w:val="single" w:sz="4" w:space="0" w:color="auto"/>
              <w:right w:val="single" w:sz="4" w:space="0" w:color="auto"/>
            </w:tcBorders>
            <w:shd w:val="clear" w:color="auto" w:fill="auto"/>
          </w:tcPr>
          <w:p w:rsidR="007B1AB6" w:rsidRPr="007B1AB6" w:rsidRDefault="007B1AB6" w:rsidP="007B1AB6">
            <w:pPr>
              <w:jc w:val="right"/>
              <w:rPr>
                <w:rFonts w:ascii="Arial" w:hAnsi="Arial" w:cs="Arial"/>
                <w:sz w:val="17"/>
                <w:szCs w:val="17"/>
              </w:rPr>
            </w:pPr>
            <w:r w:rsidRPr="007B1AB6">
              <w:rPr>
                <w:rFonts w:ascii="Arial" w:hAnsi="Arial" w:cs="Arial"/>
                <w:sz w:val="17"/>
                <w:szCs w:val="17"/>
              </w:rPr>
              <w:t>2,159</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B1AB6" w:rsidRPr="00CF6C54" w:rsidRDefault="007B1AB6" w:rsidP="007B1AB6">
            <w:pPr>
              <w:jc w:val="right"/>
              <w:rPr>
                <w:rFonts w:ascii="Arial" w:hAnsi="Arial" w:cs="Arial"/>
                <w:sz w:val="17"/>
                <w:szCs w:val="17"/>
              </w:rPr>
            </w:pPr>
            <w:r>
              <w:rPr>
                <w:rFonts w:ascii="Arial" w:hAnsi="Arial" w:cs="Arial"/>
                <w:sz w:val="17"/>
                <w:szCs w:val="17"/>
              </w:rPr>
              <w:t>2,159</w:t>
            </w:r>
          </w:p>
        </w:tc>
      </w:tr>
      <w:tr w:rsidR="007B1AB6" w:rsidRPr="002D70DA" w:rsidTr="0064728F">
        <w:trPr>
          <w:trHeight w:val="240"/>
          <w:jc w:val="center"/>
        </w:trPr>
        <w:tc>
          <w:tcPr>
            <w:tcW w:w="4743" w:type="dxa"/>
            <w:tcBorders>
              <w:top w:val="single" w:sz="4" w:space="0" w:color="auto"/>
              <w:right w:val="single" w:sz="4" w:space="0" w:color="auto"/>
            </w:tcBorders>
            <w:shd w:val="clear" w:color="auto" w:fill="auto"/>
            <w:vAlign w:val="center"/>
          </w:tcPr>
          <w:p w:rsidR="007B1AB6" w:rsidRPr="0064728F" w:rsidRDefault="007B1AB6" w:rsidP="007B1AB6">
            <w:pPr>
              <w:jc w:val="center"/>
              <w:rPr>
                <w:rFonts w:ascii="Arial" w:hAnsi="Arial" w:cs="Arial"/>
                <w:b/>
                <w:bCs/>
                <w:color w:val="000000"/>
                <w:sz w:val="17"/>
                <w:szCs w:val="17"/>
              </w:rPr>
            </w:pPr>
            <w:r w:rsidRPr="0064728F">
              <w:rPr>
                <w:rFonts w:ascii="Arial" w:hAnsi="Arial" w:cs="Arial"/>
                <w:b/>
                <w:bCs/>
                <w:color w:val="000000"/>
                <w:sz w:val="17"/>
                <w:szCs w:val="17"/>
              </w:rPr>
              <w:t>Total</w:t>
            </w:r>
          </w:p>
        </w:tc>
        <w:tc>
          <w:tcPr>
            <w:tcW w:w="2091" w:type="dxa"/>
            <w:tcBorders>
              <w:top w:val="single" w:sz="4" w:space="0" w:color="auto"/>
              <w:left w:val="nil"/>
              <w:bottom w:val="single" w:sz="4" w:space="0" w:color="auto"/>
              <w:right w:val="single" w:sz="4" w:space="0" w:color="auto"/>
            </w:tcBorders>
            <w:shd w:val="clear" w:color="auto" w:fill="auto"/>
          </w:tcPr>
          <w:p w:rsidR="007B1AB6" w:rsidRPr="0064728F" w:rsidRDefault="007B1AB6" w:rsidP="007B1AB6">
            <w:pPr>
              <w:jc w:val="right"/>
              <w:rPr>
                <w:rFonts w:ascii="Arial" w:hAnsi="Arial" w:cs="Arial"/>
                <w:b/>
                <w:sz w:val="17"/>
                <w:szCs w:val="17"/>
              </w:rPr>
            </w:pPr>
            <w:r w:rsidRPr="007B1AB6">
              <w:rPr>
                <w:rFonts w:ascii="Arial" w:hAnsi="Arial" w:cs="Arial"/>
                <w:b/>
                <w:sz w:val="17"/>
                <w:szCs w:val="17"/>
              </w:rPr>
              <w:t>8,753,057,868</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B1AB6" w:rsidRPr="0064728F" w:rsidRDefault="007B1AB6" w:rsidP="007B1AB6">
            <w:pPr>
              <w:jc w:val="right"/>
              <w:rPr>
                <w:rFonts w:ascii="Arial" w:hAnsi="Arial" w:cs="Arial"/>
                <w:b/>
                <w:sz w:val="17"/>
                <w:szCs w:val="17"/>
              </w:rPr>
            </w:pPr>
            <w:r w:rsidRPr="0064728F">
              <w:rPr>
                <w:rFonts w:ascii="Arial" w:hAnsi="Arial" w:cs="Arial"/>
                <w:b/>
                <w:sz w:val="17"/>
                <w:szCs w:val="17"/>
              </w:rPr>
              <w:t>11,190,406,184</w:t>
            </w:r>
          </w:p>
        </w:tc>
      </w:tr>
    </w:tbl>
    <w:p w:rsidR="007B1AB6" w:rsidRDefault="007B1AB6" w:rsidP="007B1AB6">
      <w:pPr>
        <w:autoSpaceDE w:val="0"/>
        <w:autoSpaceDN w:val="0"/>
        <w:adjustRightInd w:val="0"/>
        <w:ind w:left="714"/>
        <w:jc w:val="both"/>
        <w:rPr>
          <w:rFonts w:ascii="Arial" w:eastAsia="Calibri" w:hAnsi="Arial" w:cs="Arial"/>
          <w:spacing w:val="-1"/>
          <w:sz w:val="17"/>
          <w:szCs w:val="17"/>
        </w:rPr>
      </w:pPr>
    </w:p>
    <w:p w:rsidR="007B1AB6" w:rsidRDefault="007B1AB6" w:rsidP="007B1AB6">
      <w:pPr>
        <w:autoSpaceDE w:val="0"/>
        <w:autoSpaceDN w:val="0"/>
        <w:adjustRightInd w:val="0"/>
        <w:ind w:left="714"/>
        <w:jc w:val="both"/>
        <w:rPr>
          <w:rFonts w:ascii="Arial" w:eastAsia="Calibri" w:hAnsi="Arial" w:cs="Arial"/>
          <w:spacing w:val="-1"/>
          <w:sz w:val="17"/>
          <w:szCs w:val="17"/>
        </w:rPr>
      </w:pPr>
    </w:p>
    <w:p w:rsidR="007B1AB6" w:rsidRDefault="007B1AB6" w:rsidP="007B1AB6">
      <w:pPr>
        <w:autoSpaceDE w:val="0"/>
        <w:autoSpaceDN w:val="0"/>
        <w:adjustRightInd w:val="0"/>
        <w:ind w:left="714"/>
        <w:jc w:val="both"/>
        <w:rPr>
          <w:rFonts w:ascii="Arial" w:eastAsia="Calibri" w:hAnsi="Arial" w:cs="Arial"/>
          <w:spacing w:val="-1"/>
          <w:sz w:val="17"/>
          <w:szCs w:val="17"/>
        </w:rPr>
      </w:pPr>
      <w:r>
        <w:rPr>
          <w:rFonts w:ascii="Arial" w:eastAsia="Calibri" w:hAnsi="Arial" w:cs="Arial"/>
          <w:spacing w:val="-1"/>
          <w:sz w:val="17"/>
          <w:szCs w:val="17"/>
        </w:rPr>
        <w:t>La disminución en este rubro obedece al reconocimiento de bienes que anteriormente estaban considerados en comodato, el saldo que se presenta se integra por terrenos, afectaciones por derechos de vía, escuelas, centros de salud, lotes o edificaciones dadas en comodato.</w:t>
      </w:r>
    </w:p>
    <w:p w:rsidR="007B1AB6" w:rsidRDefault="007B1AB6" w:rsidP="007B1AB6">
      <w:pPr>
        <w:autoSpaceDE w:val="0"/>
        <w:autoSpaceDN w:val="0"/>
        <w:adjustRightInd w:val="0"/>
        <w:ind w:left="714"/>
        <w:jc w:val="both"/>
        <w:rPr>
          <w:rFonts w:ascii="Arial" w:hAnsi="Arial" w:cs="Arial"/>
          <w:b/>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Pasivo</w:t>
      </w:r>
      <w:r w:rsidR="000008C2" w:rsidRPr="002D70DA">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582811">
        <w:rPr>
          <w:rFonts w:ascii="Arial" w:eastAsia="Calibri" w:hAnsi="Arial" w:cs="Arial"/>
          <w:spacing w:val="-1"/>
          <w:sz w:val="17"/>
          <w:szCs w:val="17"/>
        </w:rPr>
        <w:t>2017</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64728F">
        <w:trPr>
          <w:trHeight w:val="315"/>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582811" w:rsidP="001A0060">
            <w:pPr>
              <w:jc w:val="center"/>
              <w:rPr>
                <w:rFonts w:ascii="Arial" w:hAnsi="Arial" w:cs="Arial"/>
                <w:b/>
                <w:bCs/>
                <w:color w:val="000000"/>
                <w:sz w:val="17"/>
                <w:szCs w:val="17"/>
              </w:rPr>
            </w:pPr>
            <w:r>
              <w:rPr>
                <w:rFonts w:ascii="Arial" w:hAnsi="Arial" w:cs="Arial"/>
                <w:b/>
                <w:bCs/>
                <w:color w:val="000000"/>
                <w:sz w:val="17"/>
                <w:szCs w:val="17"/>
              </w:rPr>
              <w:t>2017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582811" w:rsidP="001A0060">
            <w:pPr>
              <w:jc w:val="center"/>
              <w:rPr>
                <w:rFonts w:ascii="Arial" w:hAnsi="Arial" w:cs="Arial"/>
                <w:b/>
                <w:bCs/>
                <w:color w:val="000000"/>
                <w:sz w:val="17"/>
                <w:szCs w:val="17"/>
              </w:rPr>
            </w:pPr>
            <w:r>
              <w:rPr>
                <w:rFonts w:ascii="Arial" w:hAnsi="Arial" w:cs="Arial"/>
                <w:b/>
                <w:bCs/>
                <w:color w:val="000000"/>
                <w:sz w:val="17"/>
                <w:szCs w:val="17"/>
              </w:rPr>
              <w:t>2016</w:t>
            </w:r>
          </w:p>
        </w:tc>
      </w:tr>
      <w:tr w:rsidR="00721EA2"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21EA2" w:rsidRPr="00A05A53" w:rsidRDefault="00721EA2" w:rsidP="00721EA2">
            <w:pPr>
              <w:rPr>
                <w:rFonts w:ascii="Arial" w:hAnsi="Arial" w:cs="Arial"/>
                <w:sz w:val="17"/>
                <w:szCs w:val="17"/>
              </w:rPr>
            </w:pPr>
            <w:r w:rsidRPr="00A05A53">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2,117,574</w:t>
            </w:r>
          </w:p>
        </w:tc>
        <w:tc>
          <w:tcPr>
            <w:tcW w:w="2148" w:type="dxa"/>
            <w:tcBorders>
              <w:top w:val="nil"/>
              <w:left w:val="single" w:sz="4" w:space="0" w:color="auto"/>
              <w:bottom w:val="single" w:sz="4" w:space="0" w:color="auto"/>
              <w:right w:val="single" w:sz="4" w:space="0" w:color="auto"/>
            </w:tcBorders>
            <w:shd w:val="clear" w:color="auto" w:fill="auto"/>
          </w:tcPr>
          <w:p w:rsidR="00721EA2" w:rsidRPr="001273BF" w:rsidRDefault="00721EA2" w:rsidP="00721EA2">
            <w:pPr>
              <w:jc w:val="right"/>
              <w:rPr>
                <w:rFonts w:ascii="Arial" w:hAnsi="Arial" w:cs="Arial"/>
                <w:sz w:val="17"/>
                <w:szCs w:val="17"/>
              </w:rPr>
            </w:pPr>
            <w:r w:rsidRPr="001273BF">
              <w:rPr>
                <w:rFonts w:ascii="Arial" w:hAnsi="Arial" w:cs="Arial"/>
                <w:sz w:val="17"/>
                <w:szCs w:val="17"/>
              </w:rPr>
              <w:t xml:space="preserve">39,556,967 </w:t>
            </w:r>
          </w:p>
        </w:tc>
      </w:tr>
      <w:tr w:rsidR="00721EA2"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21EA2" w:rsidRPr="00A05A53" w:rsidRDefault="00721EA2" w:rsidP="00721EA2">
            <w:pPr>
              <w:rPr>
                <w:rFonts w:ascii="Arial" w:hAnsi="Arial" w:cs="Arial"/>
                <w:sz w:val="17"/>
                <w:szCs w:val="17"/>
              </w:rPr>
            </w:pPr>
            <w:r w:rsidRPr="00A05A53">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24,907,688</w:t>
            </w:r>
          </w:p>
        </w:tc>
        <w:tc>
          <w:tcPr>
            <w:tcW w:w="2148" w:type="dxa"/>
            <w:tcBorders>
              <w:top w:val="nil"/>
              <w:left w:val="single" w:sz="4" w:space="0" w:color="auto"/>
              <w:bottom w:val="single" w:sz="4" w:space="0" w:color="auto"/>
              <w:right w:val="single" w:sz="4" w:space="0" w:color="auto"/>
            </w:tcBorders>
            <w:shd w:val="clear" w:color="auto" w:fill="auto"/>
          </w:tcPr>
          <w:p w:rsidR="00721EA2" w:rsidRPr="001273BF" w:rsidRDefault="00721EA2" w:rsidP="00721EA2">
            <w:pPr>
              <w:jc w:val="right"/>
              <w:rPr>
                <w:rFonts w:ascii="Arial" w:hAnsi="Arial" w:cs="Arial"/>
                <w:sz w:val="17"/>
                <w:szCs w:val="17"/>
              </w:rPr>
            </w:pPr>
            <w:r w:rsidRPr="001273BF">
              <w:rPr>
                <w:rFonts w:ascii="Arial" w:hAnsi="Arial" w:cs="Arial"/>
                <w:sz w:val="17"/>
                <w:szCs w:val="17"/>
              </w:rPr>
              <w:t xml:space="preserve">10,823,563 </w:t>
            </w:r>
          </w:p>
        </w:tc>
      </w:tr>
      <w:tr w:rsidR="00721EA2"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21EA2" w:rsidRPr="00A05A53" w:rsidRDefault="00721EA2" w:rsidP="00721EA2">
            <w:pPr>
              <w:rPr>
                <w:rFonts w:ascii="Arial" w:hAnsi="Arial" w:cs="Arial"/>
                <w:sz w:val="17"/>
                <w:szCs w:val="17"/>
              </w:rPr>
            </w:pPr>
            <w:r w:rsidRPr="00A05A53">
              <w:rPr>
                <w:rFonts w:ascii="Arial" w:hAnsi="Arial" w:cs="Arial"/>
                <w:sz w:val="17"/>
                <w:szCs w:val="17"/>
              </w:rPr>
              <w:t>Participaciones y Aportaciones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21EA2" w:rsidRPr="001273BF" w:rsidRDefault="00721EA2" w:rsidP="00721EA2">
            <w:pPr>
              <w:jc w:val="right"/>
              <w:rPr>
                <w:rFonts w:ascii="Arial" w:hAnsi="Arial" w:cs="Arial"/>
                <w:sz w:val="17"/>
                <w:szCs w:val="17"/>
              </w:rPr>
            </w:pPr>
            <w:r w:rsidRPr="00721EA2">
              <w:rPr>
                <w:rFonts w:ascii="Arial" w:hAnsi="Arial" w:cs="Arial"/>
                <w:sz w:val="17"/>
                <w:szCs w:val="17"/>
              </w:rPr>
              <w:t>3,712,405</w:t>
            </w:r>
          </w:p>
        </w:tc>
        <w:tc>
          <w:tcPr>
            <w:tcW w:w="2148" w:type="dxa"/>
            <w:tcBorders>
              <w:top w:val="nil"/>
              <w:left w:val="single" w:sz="4" w:space="0" w:color="auto"/>
              <w:bottom w:val="single" w:sz="4" w:space="0" w:color="auto"/>
              <w:right w:val="single" w:sz="4" w:space="0" w:color="auto"/>
            </w:tcBorders>
            <w:shd w:val="clear" w:color="auto" w:fill="auto"/>
          </w:tcPr>
          <w:p w:rsidR="00721EA2" w:rsidRPr="001273BF" w:rsidRDefault="00721EA2" w:rsidP="00721EA2">
            <w:pPr>
              <w:jc w:val="right"/>
              <w:rPr>
                <w:rFonts w:ascii="Arial" w:hAnsi="Arial" w:cs="Arial"/>
                <w:sz w:val="17"/>
                <w:szCs w:val="17"/>
              </w:rPr>
            </w:pPr>
            <w:r w:rsidRPr="001273BF">
              <w:rPr>
                <w:rFonts w:ascii="Arial" w:hAnsi="Arial" w:cs="Arial"/>
                <w:sz w:val="17"/>
                <w:szCs w:val="17"/>
              </w:rPr>
              <w:t xml:space="preserve">3,328,851 </w:t>
            </w:r>
          </w:p>
        </w:tc>
      </w:tr>
      <w:tr w:rsidR="00721EA2"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21EA2" w:rsidRPr="00A05A53" w:rsidRDefault="00721EA2" w:rsidP="00721EA2">
            <w:pPr>
              <w:rPr>
                <w:rFonts w:ascii="Arial" w:hAnsi="Arial" w:cs="Arial"/>
                <w:sz w:val="17"/>
                <w:szCs w:val="17"/>
              </w:rPr>
            </w:pPr>
            <w:r w:rsidRPr="00A05A53">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243,123,929</w:t>
            </w:r>
          </w:p>
        </w:tc>
        <w:tc>
          <w:tcPr>
            <w:tcW w:w="2148" w:type="dxa"/>
            <w:tcBorders>
              <w:top w:val="nil"/>
              <w:left w:val="single" w:sz="4" w:space="0" w:color="auto"/>
              <w:bottom w:val="single" w:sz="4" w:space="0" w:color="auto"/>
              <w:right w:val="single" w:sz="4" w:space="0" w:color="auto"/>
            </w:tcBorders>
            <w:shd w:val="clear" w:color="auto" w:fill="auto"/>
          </w:tcPr>
          <w:p w:rsidR="00721EA2" w:rsidRPr="001273BF" w:rsidRDefault="00721EA2" w:rsidP="00721EA2">
            <w:pPr>
              <w:jc w:val="right"/>
              <w:rPr>
                <w:rFonts w:ascii="Arial" w:hAnsi="Arial" w:cs="Arial"/>
                <w:sz w:val="17"/>
                <w:szCs w:val="17"/>
              </w:rPr>
            </w:pPr>
            <w:r w:rsidRPr="001273BF">
              <w:rPr>
                <w:rFonts w:ascii="Arial" w:hAnsi="Arial" w:cs="Arial"/>
                <w:sz w:val="17"/>
                <w:szCs w:val="17"/>
              </w:rPr>
              <w:t xml:space="preserve">172,099,293 </w:t>
            </w:r>
          </w:p>
        </w:tc>
      </w:tr>
      <w:tr w:rsidR="00721EA2"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21EA2" w:rsidRPr="00A05A53" w:rsidRDefault="00721EA2" w:rsidP="00721EA2">
            <w:pPr>
              <w:rPr>
                <w:rFonts w:ascii="Arial" w:hAnsi="Arial" w:cs="Arial"/>
                <w:sz w:val="17"/>
                <w:szCs w:val="17"/>
              </w:rPr>
            </w:pPr>
            <w:r w:rsidRPr="00A05A53">
              <w:rPr>
                <w:rFonts w:ascii="Arial" w:hAnsi="Arial" w:cs="Arial"/>
                <w:sz w:val="17"/>
                <w:szCs w:val="17"/>
              </w:rPr>
              <w:t>Devoluciones de la Ley de Ingresos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4,407,234</w:t>
            </w:r>
          </w:p>
        </w:tc>
        <w:tc>
          <w:tcPr>
            <w:tcW w:w="2148" w:type="dxa"/>
            <w:tcBorders>
              <w:top w:val="nil"/>
              <w:left w:val="single" w:sz="4" w:space="0" w:color="auto"/>
              <w:bottom w:val="single" w:sz="4" w:space="0" w:color="auto"/>
              <w:right w:val="single" w:sz="4" w:space="0" w:color="auto"/>
            </w:tcBorders>
            <w:shd w:val="clear" w:color="auto" w:fill="auto"/>
          </w:tcPr>
          <w:p w:rsidR="00721EA2" w:rsidRPr="001273BF" w:rsidRDefault="00721EA2" w:rsidP="00721EA2">
            <w:pPr>
              <w:jc w:val="right"/>
              <w:rPr>
                <w:rFonts w:ascii="Arial" w:hAnsi="Arial" w:cs="Arial"/>
                <w:sz w:val="17"/>
                <w:szCs w:val="17"/>
              </w:rPr>
            </w:pPr>
            <w:r w:rsidRPr="001273BF">
              <w:rPr>
                <w:rFonts w:ascii="Arial" w:hAnsi="Arial" w:cs="Arial"/>
                <w:sz w:val="17"/>
                <w:szCs w:val="17"/>
              </w:rPr>
              <w:t xml:space="preserve">6,169,915 </w:t>
            </w:r>
          </w:p>
        </w:tc>
      </w:tr>
      <w:tr w:rsidR="00721EA2" w:rsidRPr="002D70DA" w:rsidTr="002723B2">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721EA2" w:rsidRPr="00A05A53" w:rsidRDefault="00721EA2" w:rsidP="00721EA2">
            <w:pPr>
              <w:rPr>
                <w:rFonts w:ascii="Arial" w:hAnsi="Arial" w:cs="Arial"/>
                <w:sz w:val="17"/>
                <w:szCs w:val="17"/>
              </w:rPr>
            </w:pPr>
            <w:r w:rsidRPr="00A05A53">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12,952,687</w:t>
            </w:r>
          </w:p>
        </w:tc>
        <w:tc>
          <w:tcPr>
            <w:tcW w:w="2148" w:type="dxa"/>
            <w:tcBorders>
              <w:top w:val="nil"/>
              <w:left w:val="single" w:sz="4" w:space="0" w:color="auto"/>
              <w:bottom w:val="single" w:sz="4" w:space="0" w:color="auto"/>
              <w:right w:val="single" w:sz="4" w:space="0" w:color="auto"/>
            </w:tcBorders>
            <w:shd w:val="clear" w:color="auto" w:fill="auto"/>
          </w:tcPr>
          <w:p w:rsidR="00721EA2" w:rsidRPr="001273BF" w:rsidRDefault="00721EA2" w:rsidP="00721EA2">
            <w:pPr>
              <w:jc w:val="right"/>
              <w:rPr>
                <w:rFonts w:ascii="Arial" w:hAnsi="Arial" w:cs="Arial"/>
                <w:sz w:val="17"/>
                <w:szCs w:val="17"/>
              </w:rPr>
            </w:pPr>
            <w:r w:rsidRPr="001273BF">
              <w:rPr>
                <w:rFonts w:ascii="Arial" w:hAnsi="Arial" w:cs="Arial"/>
                <w:sz w:val="17"/>
                <w:szCs w:val="17"/>
              </w:rPr>
              <w:t xml:space="preserve">1,987,730 </w:t>
            </w:r>
          </w:p>
        </w:tc>
      </w:tr>
      <w:tr w:rsidR="00721EA2" w:rsidRPr="002D70DA" w:rsidTr="002723B2">
        <w:trPr>
          <w:trHeight w:val="240"/>
          <w:jc w:val="center"/>
        </w:trPr>
        <w:tc>
          <w:tcPr>
            <w:tcW w:w="4743" w:type="dxa"/>
            <w:tcBorders>
              <w:top w:val="single" w:sz="4" w:space="0" w:color="auto"/>
              <w:right w:val="single" w:sz="4" w:space="0" w:color="auto"/>
            </w:tcBorders>
            <w:shd w:val="clear" w:color="auto" w:fill="auto"/>
            <w:vAlign w:val="center"/>
          </w:tcPr>
          <w:p w:rsidR="00721EA2" w:rsidRPr="00F93CE5" w:rsidRDefault="00721EA2" w:rsidP="00721EA2">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21EA2" w:rsidRPr="00C90054" w:rsidRDefault="00721EA2" w:rsidP="00721EA2">
            <w:pPr>
              <w:jc w:val="right"/>
              <w:rPr>
                <w:rFonts w:ascii="Arial" w:hAnsi="Arial" w:cs="Arial"/>
                <w:b/>
                <w:bCs/>
                <w:color w:val="000000"/>
                <w:sz w:val="17"/>
                <w:szCs w:val="17"/>
              </w:rPr>
            </w:pPr>
            <w:r w:rsidRPr="00721EA2">
              <w:rPr>
                <w:rFonts w:ascii="Arial" w:hAnsi="Arial" w:cs="Arial"/>
                <w:b/>
                <w:bCs/>
                <w:color w:val="000000"/>
                <w:sz w:val="17"/>
                <w:szCs w:val="17"/>
              </w:rPr>
              <w:t>291,221,517</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721EA2" w:rsidRPr="00C90054" w:rsidRDefault="00721EA2" w:rsidP="00721EA2">
            <w:pPr>
              <w:jc w:val="right"/>
              <w:rPr>
                <w:rFonts w:ascii="Arial" w:hAnsi="Arial" w:cs="Arial"/>
                <w:b/>
                <w:bCs/>
                <w:color w:val="000000"/>
                <w:sz w:val="17"/>
                <w:szCs w:val="17"/>
              </w:rPr>
            </w:pPr>
            <w:r w:rsidRPr="003B7CB9">
              <w:rPr>
                <w:rFonts w:ascii="Arial" w:hAnsi="Arial" w:cs="Arial"/>
                <w:b/>
                <w:bCs/>
                <w:color w:val="000000"/>
                <w:sz w:val="17"/>
                <w:szCs w:val="17"/>
              </w:rPr>
              <w:t>233,966,318</w:t>
            </w:r>
          </w:p>
        </w:tc>
      </w:tr>
    </w:tbl>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85264"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85264" w:rsidRPr="002D70DA" w:rsidRDefault="00E85264"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85264"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85264"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6C5E04" w:rsidRDefault="00721EA2" w:rsidP="00721EA2">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226,171,872</w:t>
            </w:r>
          </w:p>
        </w:tc>
        <w:tc>
          <w:tcPr>
            <w:tcW w:w="2180" w:type="dxa"/>
            <w:tcBorders>
              <w:top w:val="single" w:sz="4" w:space="0" w:color="auto"/>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202,951,331</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6C5E04" w:rsidRDefault="00721EA2" w:rsidP="00721EA2">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21,334,843</w:t>
            </w:r>
          </w:p>
        </w:tc>
        <w:tc>
          <w:tcPr>
            <w:tcW w:w="2180" w:type="dxa"/>
            <w:tcBorders>
              <w:top w:val="single" w:sz="4" w:space="0" w:color="auto"/>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198,915</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6C5E04" w:rsidRDefault="00721EA2" w:rsidP="00721EA2">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4,390,434</w:t>
            </w:r>
          </w:p>
        </w:tc>
        <w:tc>
          <w:tcPr>
            <w:tcW w:w="2180" w:type="dxa"/>
            <w:tcBorders>
              <w:top w:val="single" w:sz="4" w:space="0" w:color="auto"/>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4,970,312</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6C5E04" w:rsidRDefault="00721EA2" w:rsidP="00721EA2">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b/>
                <w:sz w:val="17"/>
                <w:szCs w:val="17"/>
              </w:rPr>
            </w:pPr>
            <w:r w:rsidRPr="00721EA2">
              <w:rPr>
                <w:rFonts w:ascii="Arial" w:hAnsi="Arial" w:cs="Arial"/>
                <w:b/>
                <w:sz w:val="17"/>
                <w:szCs w:val="17"/>
              </w:rPr>
              <w:t>39,324,368</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b/>
                <w:sz w:val="17"/>
                <w:szCs w:val="17"/>
              </w:rPr>
            </w:pPr>
            <w:r w:rsidRPr="00721EA2">
              <w:rPr>
                <w:rFonts w:ascii="Arial" w:hAnsi="Arial" w:cs="Arial"/>
                <w:b/>
                <w:sz w:val="17"/>
                <w:szCs w:val="17"/>
              </w:rPr>
              <w:t>25,845,759</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9D4479" w:rsidRDefault="00721EA2" w:rsidP="00721EA2">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682,977</w:t>
            </w:r>
          </w:p>
        </w:tc>
        <w:tc>
          <w:tcPr>
            <w:tcW w:w="2180" w:type="dxa"/>
            <w:tcBorders>
              <w:top w:val="single" w:sz="4" w:space="0" w:color="auto"/>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1,296,522</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9D4479" w:rsidRDefault="00721EA2" w:rsidP="00721EA2">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416,904</w:t>
            </w:r>
          </w:p>
        </w:tc>
        <w:tc>
          <w:tcPr>
            <w:tcW w:w="2180" w:type="dxa"/>
            <w:tcBorders>
              <w:top w:val="single" w:sz="4" w:space="0" w:color="auto"/>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842,098</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9D4479" w:rsidRDefault="00721EA2" w:rsidP="00721EA2">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2,067,401</w:t>
            </w:r>
          </w:p>
        </w:tc>
        <w:tc>
          <w:tcPr>
            <w:tcW w:w="2180" w:type="dxa"/>
            <w:tcBorders>
              <w:top w:val="single" w:sz="4" w:space="0" w:color="auto"/>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3,342,544</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9D4479" w:rsidRDefault="00721EA2" w:rsidP="00721EA2">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32,055,889</w:t>
            </w:r>
          </w:p>
        </w:tc>
        <w:tc>
          <w:tcPr>
            <w:tcW w:w="2180" w:type="dxa"/>
            <w:tcBorders>
              <w:top w:val="single" w:sz="4" w:space="0" w:color="auto"/>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17,483,554</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9D4479" w:rsidRDefault="00721EA2" w:rsidP="00721EA2">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2,766,404</w:t>
            </w:r>
          </w:p>
        </w:tc>
        <w:tc>
          <w:tcPr>
            <w:tcW w:w="2180" w:type="dxa"/>
            <w:tcBorders>
              <w:top w:val="single" w:sz="4" w:space="0" w:color="auto"/>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1,635,155</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9D4479" w:rsidRDefault="00721EA2" w:rsidP="00721EA2">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1,037,704</w:t>
            </w:r>
          </w:p>
        </w:tc>
        <w:tc>
          <w:tcPr>
            <w:tcW w:w="2180" w:type="dxa"/>
            <w:tcBorders>
              <w:top w:val="single" w:sz="4" w:space="0" w:color="auto"/>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559,665</w:t>
            </w:r>
          </w:p>
        </w:tc>
      </w:tr>
      <w:tr w:rsidR="00721EA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1EA2" w:rsidRPr="009D4479" w:rsidRDefault="00721EA2" w:rsidP="00721EA2">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138,196</w:t>
            </w:r>
          </w:p>
        </w:tc>
        <w:tc>
          <w:tcPr>
            <w:tcW w:w="2180" w:type="dxa"/>
            <w:tcBorders>
              <w:top w:val="single" w:sz="4" w:space="0" w:color="auto"/>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628,241</w:t>
            </w:r>
          </w:p>
        </w:tc>
      </w:tr>
      <w:tr w:rsidR="00721EA2"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21EA2" w:rsidRPr="009D4479" w:rsidRDefault="00721EA2" w:rsidP="00721EA2">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721EA2" w:rsidRPr="00721EA2" w:rsidRDefault="00721EA2" w:rsidP="00721EA2">
            <w:pPr>
              <w:jc w:val="right"/>
              <w:rPr>
                <w:rFonts w:ascii="Arial" w:hAnsi="Arial" w:cs="Arial"/>
                <w:sz w:val="17"/>
                <w:szCs w:val="17"/>
              </w:rPr>
            </w:pPr>
            <w:r w:rsidRPr="00721EA2">
              <w:rPr>
                <w:rFonts w:ascii="Arial" w:hAnsi="Arial" w:cs="Arial"/>
                <w:sz w:val="17"/>
                <w:szCs w:val="17"/>
              </w:rPr>
              <w:t>158,893</w:t>
            </w:r>
          </w:p>
        </w:tc>
        <w:tc>
          <w:tcPr>
            <w:tcW w:w="2180" w:type="dxa"/>
            <w:tcBorders>
              <w:top w:val="nil"/>
              <w:left w:val="nil"/>
              <w:bottom w:val="single" w:sz="4" w:space="0" w:color="auto"/>
              <w:right w:val="single" w:sz="4" w:space="0" w:color="auto"/>
            </w:tcBorders>
            <w:shd w:val="clear" w:color="auto" w:fill="auto"/>
          </w:tcPr>
          <w:p w:rsidR="00721EA2" w:rsidRPr="00C13C15" w:rsidRDefault="00721EA2" w:rsidP="00721EA2">
            <w:pPr>
              <w:jc w:val="right"/>
              <w:rPr>
                <w:rFonts w:ascii="Arial" w:hAnsi="Arial" w:cs="Arial"/>
                <w:sz w:val="17"/>
                <w:szCs w:val="17"/>
              </w:rPr>
            </w:pPr>
            <w:r w:rsidRPr="00C13C15">
              <w:rPr>
                <w:rFonts w:ascii="Arial" w:hAnsi="Arial" w:cs="Arial"/>
                <w:sz w:val="17"/>
                <w:szCs w:val="17"/>
              </w:rPr>
              <w:t>57,980</w:t>
            </w:r>
          </w:p>
        </w:tc>
      </w:tr>
      <w:tr w:rsidR="00721EA2"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721EA2" w:rsidRPr="002D70DA" w:rsidRDefault="00721EA2" w:rsidP="00721EA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721EA2" w:rsidRPr="005B5FB9" w:rsidRDefault="00721EA2" w:rsidP="00721EA2">
            <w:pPr>
              <w:jc w:val="right"/>
              <w:rPr>
                <w:rFonts w:ascii="Arial" w:hAnsi="Arial" w:cs="Arial"/>
                <w:b/>
                <w:bCs/>
                <w:color w:val="000000"/>
                <w:sz w:val="17"/>
                <w:szCs w:val="17"/>
                <w14:numForm w14:val="lining"/>
              </w:rPr>
            </w:pPr>
            <w:r w:rsidRPr="00721EA2">
              <w:rPr>
                <w:rFonts w:ascii="Arial" w:hAnsi="Arial" w:cs="Arial"/>
                <w:b/>
                <w:bCs/>
                <w:color w:val="000000"/>
                <w:sz w:val="17"/>
                <w:szCs w:val="17"/>
                <w14:numForm w14:val="lining"/>
              </w:rPr>
              <w:t>291,221,517</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21EA2" w:rsidRPr="005B5FB9" w:rsidRDefault="00721EA2" w:rsidP="00721EA2">
            <w:pPr>
              <w:jc w:val="right"/>
              <w:rPr>
                <w:rFonts w:ascii="Arial" w:hAnsi="Arial" w:cs="Arial"/>
                <w:b/>
                <w:bCs/>
                <w:color w:val="000000"/>
                <w:sz w:val="17"/>
                <w:szCs w:val="17"/>
                <w14:numForm w14:val="lining"/>
              </w:rPr>
            </w:pPr>
            <w:r w:rsidRPr="00C13C15">
              <w:rPr>
                <w:rFonts w:ascii="Arial" w:hAnsi="Arial" w:cs="Arial"/>
                <w:b/>
                <w:bCs/>
                <w:color w:val="000000"/>
                <w:sz w:val="17"/>
                <w:szCs w:val="17"/>
                <w14:numForm w14:val="lining"/>
              </w:rPr>
              <w:t>233,966,318</w:t>
            </w:r>
          </w:p>
        </w:tc>
      </w:tr>
    </w:tbl>
    <w:p w:rsidR="007577EA" w:rsidRDefault="007577EA" w:rsidP="007577EA">
      <w:pPr>
        <w:spacing w:before="80" w:line="250" w:lineRule="exact"/>
        <w:ind w:left="709"/>
        <w:jc w:val="both"/>
        <w:rPr>
          <w:rFonts w:ascii="Arial" w:eastAsia="Calibri" w:hAnsi="Arial" w:cs="Arial"/>
          <w:spacing w:val="-1"/>
          <w:sz w:val="17"/>
          <w:szCs w:val="17"/>
        </w:rPr>
      </w:pPr>
    </w:p>
    <w:p w:rsidR="007577EA" w:rsidRDefault="007577EA" w:rsidP="007577E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dentro del pasivo circulante la obligación de pago para los siguientes doce meses de la deuda pública </w:t>
      </w:r>
      <w:r w:rsidRPr="00B46F0E">
        <w:rPr>
          <w:rFonts w:ascii="Arial" w:eastAsia="Calibri" w:hAnsi="Arial" w:cs="Arial"/>
          <w:spacing w:val="-1"/>
          <w:sz w:val="17"/>
          <w:szCs w:val="17"/>
        </w:rPr>
        <w:t>según el calendario de pagos con BBVA</w:t>
      </w:r>
      <w:r>
        <w:rPr>
          <w:rFonts w:ascii="Arial" w:eastAsia="Calibri" w:hAnsi="Arial" w:cs="Arial"/>
          <w:spacing w:val="-1"/>
          <w:sz w:val="17"/>
          <w:szCs w:val="17"/>
        </w:rPr>
        <w:t xml:space="preserve"> Bancomer por un importe de </w:t>
      </w:r>
      <w:r w:rsidRPr="00180AF2">
        <w:rPr>
          <w:rFonts w:ascii="Arial" w:eastAsia="Calibri" w:hAnsi="Arial" w:cs="Arial"/>
          <w:spacing w:val="-1"/>
          <w:sz w:val="17"/>
          <w:szCs w:val="17"/>
        </w:rPr>
        <w:t>56,983,551</w:t>
      </w:r>
      <w:r>
        <w:rPr>
          <w:rFonts w:ascii="Arial" w:eastAsia="Calibri" w:hAnsi="Arial" w:cs="Arial"/>
          <w:spacing w:val="-1"/>
          <w:sz w:val="17"/>
          <w:szCs w:val="17"/>
        </w:rPr>
        <w:t>.</w:t>
      </w:r>
    </w:p>
    <w:p w:rsidR="0064728F" w:rsidRDefault="0064728F" w:rsidP="0064728F">
      <w:pPr>
        <w:spacing w:before="80" w:line="250" w:lineRule="exact"/>
        <w:ind w:left="709"/>
        <w:jc w:val="both"/>
        <w:rPr>
          <w:rFonts w:ascii="Arial" w:eastAsia="Calibri" w:hAnsi="Arial" w:cs="Arial"/>
          <w:spacing w:val="-1"/>
          <w:sz w:val="17"/>
          <w:szCs w:val="17"/>
        </w:rPr>
      </w:pPr>
    </w:p>
    <w:p w:rsidR="00AD3746" w:rsidRDefault="001979E6"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82811">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plazo</w:t>
      </w:r>
      <w:r w:rsidR="008638ED">
        <w:rPr>
          <w:rFonts w:ascii="Arial" w:eastAsia="Calibri" w:hAnsi="Arial" w:cs="Arial"/>
          <w:spacing w:val="-1"/>
          <w:sz w:val="17"/>
          <w:szCs w:val="17"/>
        </w:rPr>
        <w:t>:</w:t>
      </w:r>
    </w:p>
    <w:p w:rsidR="008638ED" w:rsidRPr="005540CE" w:rsidRDefault="008638ED" w:rsidP="008638E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157"/>
        <w:gridCol w:w="1934"/>
        <w:gridCol w:w="246"/>
        <w:gridCol w:w="1902"/>
      </w:tblGrid>
      <w:tr w:rsidR="007F0C65" w:rsidRPr="002D70DA" w:rsidTr="007F0C65">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F0C65" w:rsidRPr="002D70DA" w:rsidRDefault="007F0C65"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themeFill="text2" w:themeFillTint="33"/>
            <w:vAlign w:val="center"/>
          </w:tcPr>
          <w:p w:rsidR="007F0C65" w:rsidRPr="002D70DA" w:rsidRDefault="00582811" w:rsidP="00603D16">
            <w:pPr>
              <w:jc w:val="center"/>
              <w:rPr>
                <w:rFonts w:ascii="Arial" w:hAnsi="Arial" w:cs="Arial"/>
                <w:b/>
                <w:bCs/>
                <w:color w:val="000000"/>
                <w:sz w:val="17"/>
                <w:szCs w:val="17"/>
              </w:rPr>
            </w:pPr>
            <w:r>
              <w:rPr>
                <w:rFonts w:ascii="Arial" w:hAnsi="Arial" w:cs="Arial"/>
                <w:b/>
                <w:bCs/>
                <w:color w:val="000000"/>
                <w:sz w:val="17"/>
                <w:szCs w:val="17"/>
              </w:rPr>
              <w:t>2017</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F0C65" w:rsidRPr="002D70DA" w:rsidRDefault="00582811" w:rsidP="00603D16">
            <w:pPr>
              <w:jc w:val="center"/>
              <w:rPr>
                <w:rFonts w:ascii="Arial" w:hAnsi="Arial" w:cs="Arial"/>
                <w:b/>
                <w:bCs/>
                <w:color w:val="000000"/>
                <w:sz w:val="17"/>
                <w:szCs w:val="17"/>
              </w:rPr>
            </w:pPr>
            <w:r>
              <w:rPr>
                <w:rFonts w:ascii="Arial" w:hAnsi="Arial" w:cs="Arial"/>
                <w:b/>
                <w:bCs/>
                <w:color w:val="000000"/>
                <w:sz w:val="17"/>
                <w:szCs w:val="17"/>
              </w:rPr>
              <w:t>2016</w:t>
            </w:r>
          </w:p>
        </w:tc>
      </w:tr>
      <w:tr w:rsidR="00F23C32" w:rsidRPr="002D70DA" w:rsidTr="007F0C6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23C32" w:rsidRPr="008638ED" w:rsidRDefault="00F23C32" w:rsidP="00F23C32">
            <w:pPr>
              <w:rPr>
                <w:rFonts w:ascii="Arial" w:hAnsi="Arial" w:cs="Arial"/>
                <w:sz w:val="17"/>
                <w:szCs w:val="17"/>
              </w:rPr>
            </w:pPr>
            <w:r w:rsidRPr="008638ED">
              <w:rPr>
                <w:rFonts w:ascii="Arial" w:hAnsi="Arial" w:cs="Arial"/>
                <w:sz w:val="17"/>
                <w:szCs w:val="17"/>
              </w:rPr>
              <w:t>Fondos en Garantía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F23C32" w:rsidRPr="00F23C32" w:rsidRDefault="00F23C32" w:rsidP="00F23C32">
            <w:pPr>
              <w:jc w:val="right"/>
              <w:rPr>
                <w:rFonts w:ascii="Arial" w:hAnsi="Arial" w:cs="Arial"/>
                <w:sz w:val="17"/>
                <w:szCs w:val="17"/>
              </w:rPr>
            </w:pPr>
            <w:r w:rsidRPr="00F23C32">
              <w:rPr>
                <w:rFonts w:ascii="Arial" w:hAnsi="Arial" w:cs="Arial"/>
                <w:sz w:val="17"/>
                <w:szCs w:val="17"/>
              </w:rPr>
              <w:t>13,471,979</w:t>
            </w:r>
          </w:p>
        </w:tc>
        <w:tc>
          <w:tcPr>
            <w:tcW w:w="2148" w:type="dxa"/>
            <w:gridSpan w:val="2"/>
            <w:tcBorders>
              <w:top w:val="nil"/>
              <w:left w:val="single" w:sz="4" w:space="0" w:color="auto"/>
              <w:bottom w:val="single" w:sz="4" w:space="0" w:color="auto"/>
              <w:right w:val="single" w:sz="4" w:space="0" w:color="auto"/>
            </w:tcBorders>
            <w:shd w:val="clear" w:color="auto" w:fill="auto"/>
          </w:tcPr>
          <w:p w:rsidR="00F23C32" w:rsidRPr="007F0C65" w:rsidRDefault="00F23C32" w:rsidP="00F23C32">
            <w:pPr>
              <w:jc w:val="right"/>
              <w:rPr>
                <w:rFonts w:ascii="Arial" w:hAnsi="Arial" w:cs="Arial"/>
                <w:sz w:val="17"/>
                <w:szCs w:val="17"/>
              </w:rPr>
            </w:pPr>
            <w:r w:rsidRPr="007F0C65">
              <w:rPr>
                <w:rFonts w:ascii="Arial" w:hAnsi="Arial" w:cs="Arial"/>
                <w:sz w:val="17"/>
                <w:szCs w:val="17"/>
              </w:rPr>
              <w:t xml:space="preserve">9,034,206 </w:t>
            </w:r>
          </w:p>
        </w:tc>
      </w:tr>
      <w:tr w:rsidR="00F23C32" w:rsidRPr="002D70DA" w:rsidTr="007F0C6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23C32" w:rsidRPr="008638ED" w:rsidRDefault="00F23C32" w:rsidP="00F23C32">
            <w:pPr>
              <w:rPr>
                <w:rFonts w:ascii="Arial" w:hAnsi="Arial" w:cs="Arial"/>
                <w:sz w:val="17"/>
                <w:szCs w:val="17"/>
              </w:rPr>
            </w:pPr>
            <w:r w:rsidRPr="008638ED">
              <w:rPr>
                <w:rFonts w:ascii="Arial" w:hAnsi="Arial" w:cs="Arial"/>
                <w:sz w:val="17"/>
                <w:szCs w:val="17"/>
              </w:rPr>
              <w:t>Fondos en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F23C32" w:rsidRPr="00F23C32" w:rsidRDefault="00F23C32" w:rsidP="00F23C32">
            <w:pPr>
              <w:jc w:val="right"/>
              <w:rPr>
                <w:rFonts w:ascii="Arial" w:hAnsi="Arial" w:cs="Arial"/>
                <w:sz w:val="17"/>
                <w:szCs w:val="17"/>
              </w:rPr>
            </w:pPr>
            <w:r w:rsidRPr="00F23C32">
              <w:rPr>
                <w:rFonts w:ascii="Arial" w:hAnsi="Arial" w:cs="Arial"/>
                <w:sz w:val="17"/>
                <w:szCs w:val="17"/>
              </w:rPr>
              <w:t>2,533,566</w:t>
            </w:r>
          </w:p>
        </w:tc>
        <w:tc>
          <w:tcPr>
            <w:tcW w:w="2148" w:type="dxa"/>
            <w:gridSpan w:val="2"/>
            <w:tcBorders>
              <w:top w:val="nil"/>
              <w:left w:val="single" w:sz="4" w:space="0" w:color="auto"/>
              <w:bottom w:val="single" w:sz="4" w:space="0" w:color="auto"/>
              <w:right w:val="single" w:sz="4" w:space="0" w:color="auto"/>
            </w:tcBorders>
            <w:shd w:val="clear" w:color="auto" w:fill="auto"/>
          </w:tcPr>
          <w:p w:rsidR="00F23C32" w:rsidRPr="007F0C65" w:rsidRDefault="00F23C32" w:rsidP="00F23C32">
            <w:pPr>
              <w:jc w:val="right"/>
              <w:rPr>
                <w:rFonts w:ascii="Arial" w:hAnsi="Arial" w:cs="Arial"/>
                <w:sz w:val="17"/>
                <w:szCs w:val="17"/>
              </w:rPr>
            </w:pPr>
            <w:r w:rsidRPr="007F0C65">
              <w:rPr>
                <w:rFonts w:ascii="Arial" w:hAnsi="Arial" w:cs="Arial"/>
                <w:sz w:val="17"/>
                <w:szCs w:val="17"/>
              </w:rPr>
              <w:t xml:space="preserve">2,624,530 </w:t>
            </w:r>
          </w:p>
        </w:tc>
      </w:tr>
      <w:tr w:rsidR="00F23C32" w:rsidRPr="002D70DA" w:rsidTr="007F0C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F23C32" w:rsidRPr="008638ED" w:rsidRDefault="00F23C32" w:rsidP="00F23C32">
            <w:pPr>
              <w:rPr>
                <w:rFonts w:ascii="Arial" w:hAnsi="Arial" w:cs="Arial"/>
                <w:sz w:val="17"/>
                <w:szCs w:val="17"/>
              </w:rPr>
            </w:pPr>
            <w:r w:rsidRPr="008638ED">
              <w:rPr>
                <w:rFonts w:ascii="Arial" w:hAnsi="Arial" w:cs="Arial"/>
                <w:sz w:val="17"/>
                <w:szCs w:val="17"/>
              </w:rPr>
              <w:t>Otros Fondos de Terceros en Garantía y/o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F23C32" w:rsidRPr="00F23C32" w:rsidRDefault="00F23C32" w:rsidP="00F23C32">
            <w:pPr>
              <w:jc w:val="right"/>
              <w:rPr>
                <w:rFonts w:ascii="Arial" w:hAnsi="Arial" w:cs="Arial"/>
                <w:sz w:val="17"/>
                <w:szCs w:val="17"/>
              </w:rPr>
            </w:pPr>
            <w:r w:rsidRPr="00F23C32">
              <w:rPr>
                <w:rFonts w:ascii="Arial" w:hAnsi="Arial" w:cs="Arial"/>
                <w:sz w:val="17"/>
                <w:szCs w:val="17"/>
              </w:rPr>
              <w:t>21,028,268</w:t>
            </w:r>
          </w:p>
        </w:tc>
        <w:tc>
          <w:tcPr>
            <w:tcW w:w="2148" w:type="dxa"/>
            <w:gridSpan w:val="2"/>
            <w:tcBorders>
              <w:top w:val="nil"/>
              <w:left w:val="single" w:sz="4" w:space="0" w:color="auto"/>
              <w:bottom w:val="single" w:sz="4" w:space="0" w:color="auto"/>
              <w:right w:val="single" w:sz="4" w:space="0" w:color="auto"/>
            </w:tcBorders>
            <w:shd w:val="clear" w:color="auto" w:fill="auto"/>
          </w:tcPr>
          <w:p w:rsidR="00F23C32" w:rsidRPr="007F0C65" w:rsidRDefault="00F23C32" w:rsidP="00F23C32">
            <w:pPr>
              <w:jc w:val="right"/>
              <w:rPr>
                <w:rFonts w:ascii="Arial" w:hAnsi="Arial" w:cs="Arial"/>
                <w:sz w:val="17"/>
                <w:szCs w:val="17"/>
              </w:rPr>
            </w:pPr>
            <w:r w:rsidRPr="007F0C65">
              <w:rPr>
                <w:rFonts w:ascii="Arial" w:hAnsi="Arial" w:cs="Arial"/>
                <w:sz w:val="17"/>
                <w:szCs w:val="17"/>
              </w:rPr>
              <w:t xml:space="preserve">19,654,426 </w:t>
            </w:r>
          </w:p>
        </w:tc>
      </w:tr>
      <w:tr w:rsidR="00F23C32" w:rsidRPr="002D70DA" w:rsidTr="007F0C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F23C32" w:rsidRPr="008638ED" w:rsidRDefault="00F23C32" w:rsidP="00F23C32">
            <w:pPr>
              <w:rPr>
                <w:rFonts w:ascii="Arial" w:hAnsi="Arial" w:cs="Arial"/>
                <w:sz w:val="17"/>
                <w:szCs w:val="17"/>
              </w:rPr>
            </w:pPr>
            <w:r w:rsidRPr="007F0C65">
              <w:rPr>
                <w:rFonts w:ascii="Arial" w:hAnsi="Arial" w:cs="Arial"/>
                <w:sz w:val="17"/>
                <w:szCs w:val="17"/>
              </w:rPr>
              <w:t>Valores y Bienes en Garantía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F23C32" w:rsidRPr="00F23C32" w:rsidRDefault="00F23C32" w:rsidP="00F23C32">
            <w:pPr>
              <w:jc w:val="right"/>
              <w:rPr>
                <w:rFonts w:ascii="Arial" w:hAnsi="Arial" w:cs="Arial"/>
                <w:sz w:val="17"/>
                <w:szCs w:val="17"/>
              </w:rPr>
            </w:pPr>
            <w:r w:rsidRPr="00F23C32">
              <w:rPr>
                <w:rFonts w:ascii="Arial" w:hAnsi="Arial" w:cs="Arial"/>
                <w:sz w:val="17"/>
                <w:szCs w:val="17"/>
              </w:rPr>
              <w:t>780,726</w:t>
            </w:r>
          </w:p>
        </w:tc>
        <w:tc>
          <w:tcPr>
            <w:tcW w:w="2148" w:type="dxa"/>
            <w:gridSpan w:val="2"/>
            <w:tcBorders>
              <w:top w:val="nil"/>
              <w:left w:val="single" w:sz="4" w:space="0" w:color="auto"/>
              <w:bottom w:val="single" w:sz="4" w:space="0" w:color="auto"/>
              <w:right w:val="single" w:sz="4" w:space="0" w:color="auto"/>
            </w:tcBorders>
            <w:shd w:val="clear" w:color="auto" w:fill="auto"/>
          </w:tcPr>
          <w:p w:rsidR="00F23C32" w:rsidRPr="007F0C65" w:rsidRDefault="00F23C32" w:rsidP="00F23C32">
            <w:pPr>
              <w:jc w:val="right"/>
              <w:rPr>
                <w:rFonts w:ascii="Arial" w:hAnsi="Arial" w:cs="Arial"/>
                <w:sz w:val="17"/>
                <w:szCs w:val="17"/>
              </w:rPr>
            </w:pPr>
            <w:r w:rsidRPr="007F0C65">
              <w:rPr>
                <w:rFonts w:ascii="Arial" w:hAnsi="Arial" w:cs="Arial"/>
                <w:sz w:val="17"/>
                <w:szCs w:val="17"/>
              </w:rPr>
              <w:t xml:space="preserve">620,032 </w:t>
            </w:r>
          </w:p>
        </w:tc>
      </w:tr>
      <w:tr w:rsidR="00F23C32" w:rsidRPr="002D70DA" w:rsidTr="007F0C65">
        <w:trPr>
          <w:trHeight w:val="240"/>
          <w:jc w:val="center"/>
        </w:trPr>
        <w:tc>
          <w:tcPr>
            <w:tcW w:w="4743" w:type="dxa"/>
            <w:tcBorders>
              <w:top w:val="single" w:sz="4" w:space="0" w:color="auto"/>
              <w:right w:val="single" w:sz="4" w:space="0" w:color="auto"/>
            </w:tcBorders>
            <w:shd w:val="clear" w:color="auto" w:fill="auto"/>
            <w:vAlign w:val="center"/>
          </w:tcPr>
          <w:p w:rsidR="00F23C32" w:rsidRPr="00F93CE5" w:rsidRDefault="00F23C32" w:rsidP="00F23C32">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C32" w:rsidRPr="00C90054" w:rsidRDefault="00F23C32" w:rsidP="00F23C32">
            <w:pPr>
              <w:jc w:val="right"/>
              <w:rPr>
                <w:rFonts w:ascii="Arial" w:hAnsi="Arial" w:cs="Arial"/>
                <w:b/>
                <w:bCs/>
                <w:color w:val="000000"/>
                <w:sz w:val="17"/>
                <w:szCs w:val="17"/>
              </w:rPr>
            </w:pPr>
            <w:r w:rsidRPr="00F23C32">
              <w:rPr>
                <w:rFonts w:ascii="Arial" w:hAnsi="Arial" w:cs="Arial"/>
                <w:b/>
                <w:bCs/>
                <w:color w:val="000000"/>
                <w:sz w:val="17"/>
                <w:szCs w:val="17"/>
              </w:rPr>
              <w:t>37,814,538</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C32" w:rsidRPr="00C90054" w:rsidRDefault="00F23C32" w:rsidP="00F23C32">
            <w:pPr>
              <w:jc w:val="right"/>
              <w:rPr>
                <w:rFonts w:ascii="Arial" w:hAnsi="Arial" w:cs="Arial"/>
                <w:b/>
                <w:bCs/>
                <w:color w:val="000000"/>
                <w:sz w:val="17"/>
                <w:szCs w:val="17"/>
              </w:rPr>
            </w:pPr>
            <w:r w:rsidRPr="007F0C65">
              <w:rPr>
                <w:rFonts w:ascii="Arial" w:hAnsi="Arial" w:cs="Arial"/>
                <w:b/>
                <w:bCs/>
                <w:color w:val="000000"/>
                <w:sz w:val="17"/>
                <w:szCs w:val="17"/>
              </w:rPr>
              <w:t>31,933,193</w:t>
            </w:r>
          </w:p>
        </w:tc>
      </w:tr>
      <w:tr w:rsidR="007F0C65" w:rsidRPr="002D70DA" w:rsidTr="007F0C65">
        <w:trPr>
          <w:gridAfter w:val="1"/>
          <w:wAfter w:w="1902" w:type="dxa"/>
          <w:trHeight w:val="240"/>
          <w:jc w:val="center"/>
        </w:trPr>
        <w:tc>
          <w:tcPr>
            <w:tcW w:w="4900" w:type="dxa"/>
            <w:gridSpan w:val="2"/>
            <w:tcBorders>
              <w:top w:val="nil"/>
              <w:left w:val="nil"/>
              <w:bottom w:val="nil"/>
              <w:right w:val="nil"/>
            </w:tcBorders>
            <w:shd w:val="clear" w:color="000000" w:fill="FFFFFF"/>
            <w:vAlign w:val="center"/>
            <w:hideMark/>
          </w:tcPr>
          <w:p w:rsidR="007F0C65" w:rsidRPr="002D70DA" w:rsidRDefault="007F0C65" w:rsidP="006529CA">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7F0C65" w:rsidRPr="002D70DA" w:rsidRDefault="007F0C65" w:rsidP="006529CA">
            <w:pPr>
              <w:jc w:val="center"/>
              <w:rPr>
                <w:rFonts w:ascii="Arial" w:hAnsi="Arial" w:cs="Arial"/>
                <w:color w:val="000000"/>
                <w:sz w:val="17"/>
                <w:szCs w:val="17"/>
              </w:rPr>
            </w:pPr>
            <w:r w:rsidRPr="002D70DA">
              <w:rPr>
                <w:rFonts w:ascii="Arial" w:hAnsi="Arial" w:cs="Arial"/>
                <w:color w:val="000000"/>
                <w:sz w:val="17"/>
                <w:szCs w:val="17"/>
              </w:rPr>
              <w:t> </w:t>
            </w:r>
          </w:p>
        </w:tc>
      </w:tr>
    </w:tbl>
    <w:p w:rsidR="00C055CB" w:rsidRDefault="00C055CB" w:rsidP="00C055CB">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C055CB" w:rsidRPr="002D70DA" w:rsidRDefault="00C055CB" w:rsidP="00C055C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C055C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55CB" w:rsidRPr="002D70DA" w:rsidRDefault="00C055CB"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055CB"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055CB"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F23C3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3C32" w:rsidRPr="006C5E04" w:rsidRDefault="00F23C32" w:rsidP="00F23C32">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F23C32" w:rsidRPr="00AA67C9" w:rsidRDefault="00F23C32" w:rsidP="00F23C32">
            <w:pPr>
              <w:jc w:val="right"/>
              <w:rPr>
                <w:rFonts w:ascii="Arial" w:hAnsi="Arial" w:cs="Arial"/>
                <w:b/>
                <w:sz w:val="17"/>
                <w:szCs w:val="17"/>
              </w:rPr>
            </w:pPr>
            <w:r w:rsidRPr="00F23C32">
              <w:rPr>
                <w:rFonts w:ascii="Arial" w:hAnsi="Arial" w:cs="Arial"/>
                <w:b/>
                <w:sz w:val="17"/>
                <w:szCs w:val="17"/>
              </w:rPr>
              <w:t>37,028,812</w:t>
            </w:r>
          </w:p>
        </w:tc>
        <w:tc>
          <w:tcPr>
            <w:tcW w:w="2180" w:type="dxa"/>
            <w:tcBorders>
              <w:top w:val="single" w:sz="4" w:space="0" w:color="auto"/>
              <w:left w:val="nil"/>
              <w:bottom w:val="single" w:sz="4" w:space="0" w:color="auto"/>
              <w:right w:val="single" w:sz="4" w:space="0" w:color="auto"/>
            </w:tcBorders>
            <w:shd w:val="clear" w:color="auto" w:fill="auto"/>
          </w:tcPr>
          <w:p w:rsidR="00F23C32" w:rsidRPr="00AA67C9" w:rsidRDefault="00F23C32" w:rsidP="00F23C32">
            <w:pPr>
              <w:jc w:val="right"/>
              <w:rPr>
                <w:rFonts w:ascii="Arial" w:hAnsi="Arial" w:cs="Arial"/>
                <w:b/>
                <w:sz w:val="17"/>
                <w:szCs w:val="17"/>
              </w:rPr>
            </w:pPr>
            <w:r w:rsidRPr="00AA67C9">
              <w:rPr>
                <w:rFonts w:ascii="Arial" w:hAnsi="Arial" w:cs="Arial"/>
                <w:b/>
                <w:sz w:val="17"/>
                <w:szCs w:val="17"/>
              </w:rPr>
              <w:t>31,313,161</w:t>
            </w:r>
          </w:p>
        </w:tc>
      </w:tr>
      <w:tr w:rsidR="00F23C3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3C32" w:rsidRPr="006C5E04" w:rsidRDefault="00F23C32" w:rsidP="00F23C32">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F23C32" w:rsidRPr="00AA67C9" w:rsidRDefault="00F23C32" w:rsidP="00F23C32">
            <w:pPr>
              <w:jc w:val="right"/>
              <w:rPr>
                <w:rFonts w:ascii="Arial" w:hAnsi="Arial" w:cs="Arial"/>
                <w:b/>
                <w:sz w:val="17"/>
                <w:szCs w:val="17"/>
              </w:rPr>
            </w:pPr>
            <w:r>
              <w:rPr>
                <w:rFonts w:ascii="Arial" w:hAnsi="Arial" w:cs="Arial"/>
                <w:b/>
                <w:sz w:val="17"/>
                <w:szCs w:val="17"/>
              </w:rPr>
              <w:t>785,726</w:t>
            </w:r>
          </w:p>
        </w:tc>
        <w:tc>
          <w:tcPr>
            <w:tcW w:w="2180" w:type="dxa"/>
            <w:tcBorders>
              <w:top w:val="single" w:sz="4" w:space="0" w:color="auto"/>
              <w:left w:val="nil"/>
              <w:bottom w:val="single" w:sz="4" w:space="0" w:color="auto"/>
              <w:right w:val="single" w:sz="4" w:space="0" w:color="auto"/>
            </w:tcBorders>
            <w:shd w:val="clear" w:color="auto" w:fill="auto"/>
          </w:tcPr>
          <w:p w:rsidR="00F23C32" w:rsidRPr="00AA67C9" w:rsidRDefault="00F23C32" w:rsidP="00F23C32">
            <w:pPr>
              <w:jc w:val="right"/>
              <w:rPr>
                <w:rFonts w:ascii="Arial" w:hAnsi="Arial" w:cs="Arial"/>
                <w:b/>
                <w:sz w:val="17"/>
                <w:szCs w:val="17"/>
              </w:rPr>
            </w:pPr>
            <w:r w:rsidRPr="00AA67C9">
              <w:rPr>
                <w:rFonts w:ascii="Arial" w:hAnsi="Arial" w:cs="Arial"/>
                <w:b/>
                <w:sz w:val="17"/>
                <w:szCs w:val="17"/>
              </w:rPr>
              <w:t>620,032</w:t>
            </w:r>
          </w:p>
        </w:tc>
      </w:tr>
      <w:tr w:rsidR="00F23C32" w:rsidRPr="002D70DA" w:rsidTr="009915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3C32" w:rsidRPr="009D4479" w:rsidRDefault="00F23C32" w:rsidP="009915A4">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F23C32" w:rsidRPr="00AA67C9" w:rsidRDefault="00F23C32" w:rsidP="009915A4">
            <w:pPr>
              <w:jc w:val="right"/>
              <w:rPr>
                <w:rFonts w:ascii="Arial" w:hAnsi="Arial" w:cs="Arial"/>
                <w:sz w:val="17"/>
                <w:szCs w:val="17"/>
              </w:rPr>
            </w:pPr>
            <w:r w:rsidRPr="00F23C32">
              <w:rPr>
                <w:rFonts w:ascii="Arial" w:hAnsi="Arial" w:cs="Arial"/>
                <w:sz w:val="17"/>
                <w:szCs w:val="17"/>
              </w:rPr>
              <w:t>5,000</w:t>
            </w:r>
          </w:p>
        </w:tc>
        <w:tc>
          <w:tcPr>
            <w:tcW w:w="2180" w:type="dxa"/>
            <w:tcBorders>
              <w:top w:val="single" w:sz="4" w:space="0" w:color="auto"/>
              <w:left w:val="nil"/>
              <w:bottom w:val="single" w:sz="4" w:space="0" w:color="auto"/>
              <w:right w:val="single" w:sz="4" w:space="0" w:color="auto"/>
            </w:tcBorders>
            <w:shd w:val="clear" w:color="auto" w:fill="auto"/>
          </w:tcPr>
          <w:p w:rsidR="00F23C32" w:rsidRPr="00AA67C9" w:rsidRDefault="00F23C32" w:rsidP="009915A4">
            <w:pPr>
              <w:jc w:val="right"/>
              <w:rPr>
                <w:rFonts w:ascii="Arial" w:hAnsi="Arial" w:cs="Arial"/>
                <w:sz w:val="17"/>
                <w:szCs w:val="17"/>
              </w:rPr>
            </w:pPr>
            <w:r>
              <w:rPr>
                <w:rFonts w:ascii="Arial" w:hAnsi="Arial" w:cs="Arial"/>
                <w:sz w:val="17"/>
                <w:szCs w:val="17"/>
              </w:rPr>
              <w:t>0</w:t>
            </w:r>
          </w:p>
        </w:tc>
      </w:tr>
      <w:tr w:rsidR="00F23C32"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23C32" w:rsidRPr="009D4479" w:rsidRDefault="00F23C32" w:rsidP="00F23C32">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23C32" w:rsidRPr="00AA67C9" w:rsidRDefault="00F23C32" w:rsidP="00F23C32">
            <w:pPr>
              <w:jc w:val="right"/>
              <w:rPr>
                <w:rFonts w:ascii="Arial" w:hAnsi="Arial" w:cs="Arial"/>
                <w:sz w:val="17"/>
                <w:szCs w:val="17"/>
              </w:rPr>
            </w:pPr>
            <w:r w:rsidRPr="00F23C32">
              <w:rPr>
                <w:rFonts w:ascii="Arial" w:hAnsi="Arial" w:cs="Arial"/>
                <w:sz w:val="17"/>
                <w:szCs w:val="17"/>
              </w:rPr>
              <w:t>780,726</w:t>
            </w:r>
          </w:p>
        </w:tc>
        <w:tc>
          <w:tcPr>
            <w:tcW w:w="2180" w:type="dxa"/>
            <w:tcBorders>
              <w:top w:val="single" w:sz="4" w:space="0" w:color="auto"/>
              <w:left w:val="nil"/>
              <w:bottom w:val="single" w:sz="4" w:space="0" w:color="auto"/>
              <w:right w:val="single" w:sz="4" w:space="0" w:color="auto"/>
            </w:tcBorders>
            <w:shd w:val="clear" w:color="auto" w:fill="auto"/>
          </w:tcPr>
          <w:p w:rsidR="00F23C32" w:rsidRPr="00AA67C9" w:rsidRDefault="00F23C32" w:rsidP="00F23C32">
            <w:pPr>
              <w:jc w:val="right"/>
              <w:rPr>
                <w:rFonts w:ascii="Arial" w:hAnsi="Arial" w:cs="Arial"/>
                <w:sz w:val="17"/>
                <w:szCs w:val="17"/>
              </w:rPr>
            </w:pPr>
            <w:r w:rsidRPr="00AA67C9">
              <w:rPr>
                <w:rFonts w:ascii="Arial" w:hAnsi="Arial" w:cs="Arial"/>
                <w:sz w:val="17"/>
                <w:szCs w:val="17"/>
              </w:rPr>
              <w:t>620,032</w:t>
            </w:r>
          </w:p>
        </w:tc>
      </w:tr>
      <w:tr w:rsidR="00F23C32"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F23C32" w:rsidRPr="002D70DA" w:rsidRDefault="00F23C32" w:rsidP="00F23C3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F23C32" w:rsidRPr="005B5FB9" w:rsidRDefault="00F23C32" w:rsidP="00F23C32">
            <w:pPr>
              <w:jc w:val="right"/>
              <w:rPr>
                <w:rFonts w:ascii="Arial" w:hAnsi="Arial" w:cs="Arial"/>
                <w:b/>
                <w:bCs/>
                <w:color w:val="000000"/>
                <w:sz w:val="17"/>
                <w:szCs w:val="17"/>
                <w14:numForm w14:val="lining"/>
              </w:rPr>
            </w:pPr>
            <w:r w:rsidRPr="00F23C32">
              <w:rPr>
                <w:rFonts w:ascii="Arial" w:hAnsi="Arial" w:cs="Arial"/>
                <w:b/>
                <w:bCs/>
                <w:color w:val="000000"/>
                <w:sz w:val="17"/>
                <w:szCs w:val="17"/>
                <w14:numForm w14:val="lining"/>
              </w:rPr>
              <w:t>37,814,538</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F23C32" w:rsidRPr="005B5FB9" w:rsidRDefault="00F23C32" w:rsidP="00F23C32">
            <w:pPr>
              <w:jc w:val="right"/>
              <w:rPr>
                <w:rFonts w:ascii="Arial" w:hAnsi="Arial" w:cs="Arial"/>
                <w:b/>
                <w:bCs/>
                <w:color w:val="000000"/>
                <w:sz w:val="17"/>
                <w:szCs w:val="17"/>
                <w14:numForm w14:val="lining"/>
              </w:rPr>
            </w:pPr>
            <w:r w:rsidRPr="00AA67C9">
              <w:rPr>
                <w:rFonts w:ascii="Arial" w:hAnsi="Arial" w:cs="Arial"/>
                <w:b/>
                <w:bCs/>
                <w:color w:val="000000"/>
                <w:sz w:val="17"/>
                <w:szCs w:val="17"/>
                <w14:numForm w14:val="lining"/>
              </w:rPr>
              <w:t>31,933,193</w:t>
            </w:r>
          </w:p>
        </w:tc>
      </w:tr>
    </w:tbl>
    <w:p w:rsidR="00061653" w:rsidRDefault="00061653" w:rsidP="006C17A5">
      <w:pPr>
        <w:spacing w:before="80" w:line="250" w:lineRule="exact"/>
        <w:ind w:left="709"/>
        <w:jc w:val="both"/>
        <w:rPr>
          <w:rFonts w:ascii="Arial" w:eastAsia="Calibri" w:hAnsi="Arial" w:cs="Arial"/>
          <w:spacing w:val="-1"/>
          <w:sz w:val="17"/>
          <w:szCs w:val="17"/>
        </w:rPr>
      </w:pPr>
    </w:p>
    <w:p w:rsidR="00C93FBA" w:rsidRDefault="00C93FBA" w:rsidP="00C93FBA">
      <w:pPr>
        <w:spacing w:before="80" w:line="250" w:lineRule="exact"/>
        <w:ind w:left="709"/>
        <w:jc w:val="both"/>
        <w:rPr>
          <w:rFonts w:ascii="Arial" w:eastAsia="Calibri" w:hAnsi="Arial" w:cs="Arial"/>
          <w:spacing w:val="-1"/>
          <w:sz w:val="17"/>
          <w:szCs w:val="17"/>
        </w:rPr>
      </w:pPr>
      <w:r>
        <w:rPr>
          <w:rFonts w:ascii="Arial" w:hAnsi="Arial" w:cs="Arial"/>
          <w:sz w:val="17"/>
          <w:szCs w:val="17"/>
        </w:rPr>
        <w:t>El incremento en el Poder Ejecutivo, es</w:t>
      </w:r>
      <w:r>
        <w:rPr>
          <w:rFonts w:ascii="Arial" w:eastAsia="Calibri" w:hAnsi="Arial" w:cs="Arial"/>
          <w:spacing w:val="-1"/>
          <w:sz w:val="17"/>
          <w:szCs w:val="17"/>
        </w:rPr>
        <w:t xml:space="preserve"> derivado principalmente por el reconocimiento de depósitos pertenecientes a la Junta de Conciliación y Arbitraje de la Secretaría de Trabajo.</w:t>
      </w:r>
    </w:p>
    <w:p w:rsidR="00061653" w:rsidRDefault="00061653" w:rsidP="006C17A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saldo presentado en la cuenta Provisiones a Corto Plazo por un importe de </w:t>
      </w:r>
      <w:r w:rsidR="00D11BDD" w:rsidRPr="00D11BDD">
        <w:rPr>
          <w:rFonts w:ascii="Arial" w:eastAsia="Calibri" w:hAnsi="Arial" w:cs="Arial"/>
          <w:spacing w:val="-1"/>
          <w:sz w:val="17"/>
          <w:szCs w:val="17"/>
        </w:rPr>
        <w:t>180,000</w:t>
      </w:r>
      <w:r w:rsidR="00D11BDD">
        <w:rPr>
          <w:rFonts w:ascii="Arial" w:eastAsia="Calibri" w:hAnsi="Arial" w:cs="Arial"/>
          <w:spacing w:val="-1"/>
          <w:sz w:val="17"/>
          <w:szCs w:val="17"/>
        </w:rPr>
        <w:t xml:space="preserve"> </w:t>
      </w:r>
      <w:r>
        <w:rPr>
          <w:rFonts w:ascii="Arial" w:eastAsia="Calibri" w:hAnsi="Arial" w:cs="Arial"/>
          <w:spacing w:val="-1"/>
          <w:sz w:val="17"/>
          <w:szCs w:val="17"/>
        </w:rPr>
        <w:t xml:space="preserve">corresponde </w:t>
      </w:r>
      <w:r w:rsidR="00A34FBB">
        <w:rPr>
          <w:rFonts w:ascii="Arial" w:eastAsia="Calibri" w:hAnsi="Arial" w:cs="Arial"/>
          <w:spacing w:val="-1"/>
          <w:sz w:val="17"/>
          <w:szCs w:val="17"/>
        </w:rPr>
        <w:t xml:space="preserve">al </w:t>
      </w:r>
      <w:r w:rsidR="00C93D6F">
        <w:rPr>
          <w:rFonts w:ascii="Arial" w:eastAsia="Calibri" w:hAnsi="Arial" w:cs="Arial"/>
          <w:spacing w:val="-1"/>
          <w:sz w:val="17"/>
          <w:szCs w:val="17"/>
        </w:rPr>
        <w:t>Tribunal de Justicia Administrativa del Estado de Querétaro</w:t>
      </w:r>
      <w:r w:rsidR="00A34FBB">
        <w:rPr>
          <w:rFonts w:ascii="Arial" w:eastAsia="Calibri" w:hAnsi="Arial" w:cs="Arial"/>
          <w:spacing w:val="-1"/>
          <w:sz w:val="17"/>
          <w:szCs w:val="17"/>
        </w:rPr>
        <w:t>.</w:t>
      </w:r>
    </w:p>
    <w:p w:rsidR="00AA1129" w:rsidRDefault="00AA1129"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434092">
        <w:rPr>
          <w:rFonts w:ascii="Arial" w:eastAsia="Calibri" w:hAnsi="Arial" w:cs="Arial"/>
          <w:spacing w:val="-1"/>
          <w:sz w:val="17"/>
          <w:szCs w:val="17"/>
        </w:rPr>
        <w:t xml:space="preserve">de la cuenta la cuenta </w:t>
      </w:r>
      <w:r w:rsidR="00434092" w:rsidRPr="00AA1129">
        <w:rPr>
          <w:rFonts w:ascii="Arial" w:eastAsia="Calibri" w:hAnsi="Arial" w:cs="Arial"/>
          <w:spacing w:val="-1"/>
          <w:sz w:val="17"/>
          <w:szCs w:val="17"/>
        </w:rPr>
        <w:t>Otros Pasivos a Corto Plazo</w:t>
      </w:r>
      <w:r w:rsidR="00434092">
        <w:rPr>
          <w:rFonts w:ascii="Arial" w:eastAsia="Calibri" w:hAnsi="Arial" w:cs="Arial"/>
          <w:spacing w:val="-1"/>
          <w:sz w:val="17"/>
          <w:szCs w:val="17"/>
        </w:rPr>
        <w:t xml:space="preserve"> </w:t>
      </w:r>
      <w:r>
        <w:rPr>
          <w:rFonts w:ascii="Arial" w:eastAsia="Calibri" w:hAnsi="Arial" w:cs="Arial"/>
          <w:spacing w:val="-1"/>
          <w:sz w:val="17"/>
          <w:szCs w:val="17"/>
        </w:rPr>
        <w:t xml:space="preserve">al 31 de diciembre del </w:t>
      </w:r>
      <w:r w:rsidR="00582811">
        <w:rPr>
          <w:rFonts w:ascii="Arial" w:eastAsia="Calibri" w:hAnsi="Arial" w:cs="Arial"/>
          <w:spacing w:val="-1"/>
          <w:sz w:val="17"/>
          <w:szCs w:val="17"/>
        </w:rPr>
        <w:t>2017</w:t>
      </w:r>
      <w:r w:rsidR="00434092">
        <w:rPr>
          <w:rFonts w:ascii="Arial" w:eastAsia="Calibri" w:hAnsi="Arial" w:cs="Arial"/>
          <w:spacing w:val="-1"/>
          <w:sz w:val="17"/>
          <w:szCs w:val="17"/>
        </w:rPr>
        <w:t>:</w:t>
      </w:r>
    </w:p>
    <w:p w:rsidR="00AA1129" w:rsidRPr="005540CE" w:rsidRDefault="00AA1129" w:rsidP="00AA1129">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157"/>
        <w:gridCol w:w="1934"/>
        <w:gridCol w:w="246"/>
        <w:gridCol w:w="1902"/>
      </w:tblGrid>
      <w:tr w:rsidR="00434092" w:rsidRPr="002D70DA" w:rsidTr="006C17A5">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34092" w:rsidRPr="002D70DA" w:rsidRDefault="00434092"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themeFill="text2" w:themeFillTint="33"/>
            <w:vAlign w:val="center"/>
          </w:tcPr>
          <w:p w:rsidR="00434092" w:rsidRPr="002D70DA" w:rsidRDefault="00582811" w:rsidP="00603D16">
            <w:pPr>
              <w:jc w:val="center"/>
              <w:rPr>
                <w:rFonts w:ascii="Arial" w:hAnsi="Arial" w:cs="Arial"/>
                <w:b/>
                <w:bCs/>
                <w:color w:val="000000"/>
                <w:sz w:val="17"/>
                <w:szCs w:val="17"/>
              </w:rPr>
            </w:pPr>
            <w:r>
              <w:rPr>
                <w:rFonts w:ascii="Arial" w:hAnsi="Arial" w:cs="Arial"/>
                <w:b/>
                <w:bCs/>
                <w:color w:val="000000"/>
                <w:sz w:val="17"/>
                <w:szCs w:val="17"/>
              </w:rPr>
              <w:t>2017</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34092" w:rsidRPr="002D70DA" w:rsidRDefault="00582811" w:rsidP="00603D16">
            <w:pPr>
              <w:jc w:val="center"/>
              <w:rPr>
                <w:rFonts w:ascii="Arial" w:hAnsi="Arial" w:cs="Arial"/>
                <w:b/>
                <w:bCs/>
                <w:color w:val="000000"/>
                <w:sz w:val="17"/>
                <w:szCs w:val="17"/>
              </w:rPr>
            </w:pPr>
            <w:r>
              <w:rPr>
                <w:rFonts w:ascii="Arial" w:hAnsi="Arial" w:cs="Arial"/>
                <w:b/>
                <w:bCs/>
                <w:color w:val="000000"/>
                <w:sz w:val="17"/>
                <w:szCs w:val="17"/>
              </w:rPr>
              <w:t>2016</w:t>
            </w:r>
          </w:p>
        </w:tc>
      </w:tr>
      <w:tr w:rsidR="00D11BDD" w:rsidRPr="002D70DA" w:rsidTr="0096530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D11BDD" w:rsidRPr="00434092" w:rsidRDefault="00D11BDD" w:rsidP="00D11BDD">
            <w:pPr>
              <w:rPr>
                <w:rFonts w:ascii="Arial" w:hAnsi="Arial" w:cs="Arial"/>
                <w:sz w:val="17"/>
                <w:szCs w:val="17"/>
              </w:rPr>
            </w:pPr>
            <w:r w:rsidRPr="00434092">
              <w:rPr>
                <w:rFonts w:ascii="Arial" w:hAnsi="Arial" w:cs="Arial"/>
                <w:sz w:val="17"/>
                <w:szCs w:val="17"/>
              </w:rPr>
              <w:t>Ingresos por Clasificar</w:t>
            </w:r>
          </w:p>
        </w:tc>
        <w:tc>
          <w:tcPr>
            <w:tcW w:w="2091" w:type="dxa"/>
            <w:gridSpan w:val="2"/>
            <w:tcBorders>
              <w:top w:val="single" w:sz="4" w:space="0" w:color="auto"/>
              <w:left w:val="nil"/>
              <w:bottom w:val="single" w:sz="4" w:space="0" w:color="auto"/>
              <w:right w:val="single" w:sz="4" w:space="0" w:color="auto"/>
            </w:tcBorders>
            <w:shd w:val="clear" w:color="auto" w:fill="auto"/>
          </w:tcPr>
          <w:p w:rsidR="00D11BDD" w:rsidRPr="00434092" w:rsidRDefault="00D11BDD" w:rsidP="00D11BDD">
            <w:pPr>
              <w:jc w:val="right"/>
              <w:rPr>
                <w:rFonts w:ascii="Arial" w:hAnsi="Arial" w:cs="Arial"/>
                <w:sz w:val="17"/>
                <w:szCs w:val="17"/>
              </w:rPr>
            </w:pPr>
            <w:r w:rsidRPr="00D11BDD">
              <w:rPr>
                <w:rFonts w:ascii="Arial" w:hAnsi="Arial" w:cs="Arial"/>
                <w:sz w:val="17"/>
                <w:szCs w:val="17"/>
              </w:rPr>
              <w:t>30,281</w:t>
            </w:r>
          </w:p>
        </w:tc>
        <w:tc>
          <w:tcPr>
            <w:tcW w:w="2148" w:type="dxa"/>
            <w:gridSpan w:val="2"/>
            <w:tcBorders>
              <w:top w:val="nil"/>
              <w:left w:val="single" w:sz="4" w:space="0" w:color="auto"/>
              <w:bottom w:val="single" w:sz="4" w:space="0" w:color="auto"/>
              <w:right w:val="single" w:sz="4" w:space="0" w:color="auto"/>
            </w:tcBorders>
            <w:shd w:val="clear" w:color="auto" w:fill="auto"/>
          </w:tcPr>
          <w:p w:rsidR="00D11BDD" w:rsidRPr="00434092" w:rsidRDefault="00D11BDD" w:rsidP="00D11BDD">
            <w:pPr>
              <w:jc w:val="right"/>
              <w:rPr>
                <w:rFonts w:ascii="Arial" w:hAnsi="Arial" w:cs="Arial"/>
                <w:sz w:val="17"/>
                <w:szCs w:val="17"/>
              </w:rPr>
            </w:pPr>
            <w:r w:rsidRPr="00434092">
              <w:rPr>
                <w:rFonts w:ascii="Arial" w:hAnsi="Arial" w:cs="Arial"/>
                <w:sz w:val="17"/>
                <w:szCs w:val="17"/>
              </w:rPr>
              <w:t xml:space="preserve">10,910,819 </w:t>
            </w:r>
          </w:p>
        </w:tc>
      </w:tr>
      <w:tr w:rsidR="00D11BDD" w:rsidRPr="002D70DA" w:rsidTr="00965303">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D11BDD" w:rsidRPr="00434092" w:rsidRDefault="00D11BDD" w:rsidP="00D11BDD">
            <w:pPr>
              <w:rPr>
                <w:rFonts w:ascii="Arial" w:hAnsi="Arial" w:cs="Arial"/>
                <w:sz w:val="17"/>
                <w:szCs w:val="17"/>
              </w:rPr>
            </w:pPr>
            <w:r w:rsidRPr="00434092">
              <w:rPr>
                <w:rFonts w:ascii="Arial" w:hAnsi="Arial" w:cs="Arial"/>
                <w:sz w:val="17"/>
                <w:szCs w:val="17"/>
              </w:rPr>
              <w:t>Recaudación por Participar</w:t>
            </w:r>
          </w:p>
        </w:tc>
        <w:tc>
          <w:tcPr>
            <w:tcW w:w="2091" w:type="dxa"/>
            <w:gridSpan w:val="2"/>
            <w:tcBorders>
              <w:top w:val="single" w:sz="4" w:space="0" w:color="auto"/>
              <w:left w:val="nil"/>
              <w:bottom w:val="single" w:sz="4" w:space="0" w:color="auto"/>
              <w:right w:val="single" w:sz="4" w:space="0" w:color="auto"/>
            </w:tcBorders>
            <w:shd w:val="clear" w:color="auto" w:fill="auto"/>
          </w:tcPr>
          <w:p w:rsidR="00D11BDD" w:rsidRPr="00434092" w:rsidRDefault="00D11BDD" w:rsidP="00D11BDD">
            <w:pPr>
              <w:jc w:val="right"/>
              <w:rPr>
                <w:rFonts w:ascii="Arial" w:hAnsi="Arial" w:cs="Arial"/>
                <w:sz w:val="17"/>
                <w:szCs w:val="17"/>
              </w:rPr>
            </w:pPr>
            <w:r w:rsidRPr="00D11BDD">
              <w:rPr>
                <w:rFonts w:ascii="Arial" w:hAnsi="Arial" w:cs="Arial"/>
                <w:sz w:val="17"/>
                <w:szCs w:val="17"/>
              </w:rPr>
              <w:t>57,275,977</w:t>
            </w:r>
          </w:p>
        </w:tc>
        <w:tc>
          <w:tcPr>
            <w:tcW w:w="2148" w:type="dxa"/>
            <w:gridSpan w:val="2"/>
            <w:tcBorders>
              <w:top w:val="nil"/>
              <w:left w:val="single" w:sz="4" w:space="0" w:color="auto"/>
              <w:bottom w:val="single" w:sz="4" w:space="0" w:color="auto"/>
              <w:right w:val="single" w:sz="4" w:space="0" w:color="auto"/>
            </w:tcBorders>
            <w:shd w:val="clear" w:color="auto" w:fill="auto"/>
          </w:tcPr>
          <w:p w:rsidR="00D11BDD" w:rsidRPr="00434092" w:rsidRDefault="00D11BDD" w:rsidP="00D11BDD">
            <w:pPr>
              <w:jc w:val="right"/>
              <w:rPr>
                <w:rFonts w:ascii="Arial" w:hAnsi="Arial" w:cs="Arial"/>
                <w:sz w:val="17"/>
                <w:szCs w:val="17"/>
              </w:rPr>
            </w:pPr>
            <w:r w:rsidRPr="00434092">
              <w:rPr>
                <w:rFonts w:ascii="Arial" w:hAnsi="Arial" w:cs="Arial"/>
                <w:sz w:val="17"/>
                <w:szCs w:val="17"/>
              </w:rPr>
              <w:t xml:space="preserve">39,545,690 </w:t>
            </w:r>
          </w:p>
        </w:tc>
      </w:tr>
      <w:tr w:rsidR="00D11BDD" w:rsidRPr="002D70DA" w:rsidTr="00965303">
        <w:trPr>
          <w:trHeight w:val="240"/>
          <w:jc w:val="center"/>
        </w:trPr>
        <w:tc>
          <w:tcPr>
            <w:tcW w:w="4743" w:type="dxa"/>
            <w:tcBorders>
              <w:top w:val="single" w:sz="4" w:space="0" w:color="auto"/>
              <w:right w:val="single" w:sz="4" w:space="0" w:color="auto"/>
            </w:tcBorders>
            <w:shd w:val="clear" w:color="auto" w:fill="auto"/>
            <w:vAlign w:val="center"/>
          </w:tcPr>
          <w:p w:rsidR="00D11BDD" w:rsidRPr="00F93CE5" w:rsidRDefault="00D11BDD" w:rsidP="00D11BDD">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BDD" w:rsidRPr="00C90054" w:rsidRDefault="00D11BDD" w:rsidP="00D11BDD">
            <w:pPr>
              <w:jc w:val="right"/>
              <w:rPr>
                <w:rFonts w:ascii="Arial" w:hAnsi="Arial" w:cs="Arial"/>
                <w:b/>
                <w:bCs/>
                <w:color w:val="000000"/>
                <w:sz w:val="17"/>
                <w:szCs w:val="17"/>
              </w:rPr>
            </w:pPr>
            <w:r w:rsidRPr="00D11BDD">
              <w:rPr>
                <w:rFonts w:ascii="Arial" w:hAnsi="Arial" w:cs="Arial"/>
                <w:b/>
                <w:bCs/>
                <w:color w:val="000000"/>
                <w:sz w:val="17"/>
                <w:szCs w:val="17"/>
              </w:rPr>
              <w:t>57,306,258</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BDD" w:rsidRPr="00C90054" w:rsidRDefault="00D11BDD" w:rsidP="00D11BDD">
            <w:pPr>
              <w:jc w:val="right"/>
              <w:rPr>
                <w:rFonts w:ascii="Arial" w:hAnsi="Arial" w:cs="Arial"/>
                <w:b/>
                <w:bCs/>
                <w:color w:val="000000"/>
                <w:sz w:val="17"/>
                <w:szCs w:val="17"/>
              </w:rPr>
            </w:pPr>
            <w:r w:rsidRPr="00434092">
              <w:rPr>
                <w:rFonts w:ascii="Arial" w:hAnsi="Arial" w:cs="Arial"/>
                <w:b/>
                <w:bCs/>
                <w:color w:val="000000"/>
                <w:sz w:val="17"/>
                <w:szCs w:val="17"/>
              </w:rPr>
              <w:t>50,456,508</w:t>
            </w:r>
          </w:p>
        </w:tc>
      </w:tr>
      <w:tr w:rsidR="00434092" w:rsidRPr="002D70DA" w:rsidTr="00434092">
        <w:trPr>
          <w:gridAfter w:val="1"/>
          <w:wAfter w:w="1902" w:type="dxa"/>
          <w:trHeight w:val="240"/>
          <w:jc w:val="center"/>
        </w:trPr>
        <w:tc>
          <w:tcPr>
            <w:tcW w:w="4900" w:type="dxa"/>
            <w:gridSpan w:val="2"/>
            <w:tcBorders>
              <w:top w:val="nil"/>
              <w:left w:val="nil"/>
              <w:bottom w:val="nil"/>
              <w:right w:val="nil"/>
            </w:tcBorders>
            <w:shd w:val="clear" w:color="000000" w:fill="FFFFFF"/>
            <w:vAlign w:val="center"/>
            <w:hideMark/>
          </w:tcPr>
          <w:p w:rsidR="00434092" w:rsidRPr="002D70DA" w:rsidRDefault="00434092" w:rsidP="00603D16">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434092" w:rsidRPr="002D70DA" w:rsidRDefault="00434092" w:rsidP="00603D16">
            <w:pPr>
              <w:jc w:val="center"/>
              <w:rPr>
                <w:rFonts w:ascii="Arial" w:hAnsi="Arial" w:cs="Arial"/>
                <w:color w:val="000000"/>
                <w:sz w:val="17"/>
                <w:szCs w:val="17"/>
              </w:rPr>
            </w:pPr>
            <w:r w:rsidRPr="002D70DA">
              <w:rPr>
                <w:rFonts w:ascii="Arial" w:hAnsi="Arial" w:cs="Arial"/>
                <w:color w:val="000000"/>
                <w:sz w:val="17"/>
                <w:szCs w:val="17"/>
              </w:rPr>
              <w:t> </w:t>
            </w:r>
          </w:p>
        </w:tc>
      </w:tr>
    </w:tbl>
    <w:p w:rsidR="00281FCC" w:rsidRDefault="006C029D" w:rsidP="00F535B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saldo presentado en esta cuenta corresponde en su totalidad al Poder Ejecutivo. </w:t>
      </w:r>
    </w:p>
    <w:p w:rsidR="006C029D" w:rsidRDefault="006C029D" w:rsidP="006C029D">
      <w:pPr>
        <w:ind w:left="709"/>
        <w:rPr>
          <w:rFonts w:ascii="Arial" w:eastAsia="Calibri" w:hAnsi="Arial" w:cs="Arial"/>
          <w:spacing w:val="-1"/>
          <w:sz w:val="17"/>
          <w:szCs w:val="17"/>
        </w:rPr>
      </w:pPr>
      <w:r>
        <w:rPr>
          <w:rFonts w:ascii="Arial" w:eastAsia="Calibri" w:hAnsi="Arial" w:cs="Arial"/>
          <w:spacing w:val="-1"/>
          <w:sz w:val="17"/>
          <w:szCs w:val="17"/>
        </w:rPr>
        <w:lastRenderedPageBreak/>
        <w:t>Se informan el saldo de 194.00 de la cuenta Documentos por Pagar a Largo Plazo correspondientes</w:t>
      </w:r>
      <w:r w:rsidRPr="006C029D">
        <w:t xml:space="preserve"> </w:t>
      </w:r>
      <w:r w:rsidRPr="006C029D">
        <w:rPr>
          <w:rFonts w:ascii="Arial" w:eastAsia="Calibri" w:hAnsi="Arial" w:cs="Arial"/>
          <w:spacing w:val="-1"/>
          <w:sz w:val="17"/>
          <w:szCs w:val="17"/>
        </w:rPr>
        <w:t>a la Comisión de Transparencia y Acceso a la Información Pública del Estado de Querétaro</w:t>
      </w:r>
      <w:r w:rsidR="0060286C">
        <w:rPr>
          <w:rFonts w:ascii="Arial" w:eastAsia="Calibri" w:hAnsi="Arial" w:cs="Arial"/>
          <w:spacing w:val="-1"/>
          <w:sz w:val="17"/>
          <w:szCs w:val="17"/>
        </w:rPr>
        <w:t>.</w:t>
      </w:r>
    </w:p>
    <w:p w:rsidR="006C029D" w:rsidRDefault="006C029D" w:rsidP="006C029D">
      <w:pPr>
        <w:ind w:left="709"/>
        <w:rPr>
          <w:rFonts w:ascii="Arial" w:eastAsia="Calibri" w:hAnsi="Arial" w:cs="Arial"/>
          <w:spacing w:val="-1"/>
          <w:sz w:val="17"/>
          <w:szCs w:val="17"/>
        </w:rPr>
      </w:pPr>
    </w:p>
    <w:p w:rsidR="006C029D" w:rsidRDefault="006C029D" w:rsidP="006C029D">
      <w:pPr>
        <w:ind w:left="709"/>
        <w:jc w:val="both"/>
        <w:rPr>
          <w:rFonts w:ascii="Arial" w:eastAsia="Calibri" w:hAnsi="Arial" w:cs="Arial"/>
          <w:spacing w:val="-1"/>
          <w:sz w:val="17"/>
          <w:szCs w:val="17"/>
        </w:rPr>
      </w:pPr>
      <w:r>
        <w:rPr>
          <w:rFonts w:ascii="Arial" w:eastAsia="Calibri" w:hAnsi="Arial" w:cs="Arial"/>
          <w:spacing w:val="-1"/>
          <w:sz w:val="17"/>
          <w:szCs w:val="17"/>
        </w:rPr>
        <w:t xml:space="preserve">El saldo reportado dentro del Pasivo no Circulante en la cuenta Deuda Pública a Largo Plazo corresponde al Poder Ejecutivo y representa </w:t>
      </w:r>
      <w:r w:rsidRPr="006C029D">
        <w:rPr>
          <w:rFonts w:ascii="Arial" w:eastAsia="Calibri" w:hAnsi="Arial" w:cs="Arial"/>
          <w:spacing w:val="-1"/>
          <w:sz w:val="17"/>
          <w:szCs w:val="17"/>
        </w:rPr>
        <w:t xml:space="preserve">la obligación de pago para ejercicios posteriores al 2017 que asciende a </w:t>
      </w:r>
      <w:r w:rsidR="0006008C" w:rsidRPr="0006008C">
        <w:rPr>
          <w:rFonts w:ascii="Arial" w:eastAsia="Calibri" w:hAnsi="Arial" w:cs="Arial"/>
          <w:spacing w:val="-1"/>
          <w:sz w:val="17"/>
          <w:szCs w:val="17"/>
        </w:rPr>
        <w:t>644,084,032</w:t>
      </w:r>
      <w:r w:rsidRPr="006C029D">
        <w:rPr>
          <w:rFonts w:ascii="Arial" w:eastAsia="Calibri" w:hAnsi="Arial" w:cs="Arial"/>
          <w:spacing w:val="-1"/>
          <w:sz w:val="17"/>
          <w:szCs w:val="17"/>
        </w:rPr>
        <w:t xml:space="preserve">, dicha deuda contratada con BBVA se prevé su amortización completa para el mes de </w:t>
      </w:r>
      <w:r w:rsidR="0006008C" w:rsidRPr="006C029D">
        <w:rPr>
          <w:rFonts w:ascii="Arial" w:eastAsia="Calibri" w:hAnsi="Arial" w:cs="Arial"/>
          <w:spacing w:val="-1"/>
          <w:sz w:val="17"/>
          <w:szCs w:val="17"/>
        </w:rPr>
        <w:t>agosto</w:t>
      </w:r>
      <w:r w:rsidRPr="006C029D">
        <w:rPr>
          <w:rFonts w:ascii="Arial" w:eastAsia="Calibri" w:hAnsi="Arial" w:cs="Arial"/>
          <w:spacing w:val="-1"/>
          <w:sz w:val="17"/>
          <w:szCs w:val="17"/>
        </w:rPr>
        <w:t xml:space="preserve"> de 202</w:t>
      </w:r>
      <w:r w:rsidR="0006008C">
        <w:rPr>
          <w:rFonts w:ascii="Arial" w:eastAsia="Calibri" w:hAnsi="Arial" w:cs="Arial"/>
          <w:spacing w:val="-1"/>
          <w:sz w:val="17"/>
          <w:szCs w:val="17"/>
        </w:rPr>
        <w:t>1</w:t>
      </w:r>
      <w:r w:rsidRPr="006C029D">
        <w:rPr>
          <w:rFonts w:ascii="Arial" w:eastAsia="Calibri" w:hAnsi="Arial" w:cs="Arial"/>
          <w:spacing w:val="-1"/>
          <w:sz w:val="17"/>
          <w:szCs w:val="17"/>
        </w:rPr>
        <w:t xml:space="preserve"> estando garantizada a través de un fideicomiso de administración y pago fondeado con participaciones federales</w:t>
      </w:r>
    </w:p>
    <w:p w:rsidR="0034013F" w:rsidRDefault="0034013F" w:rsidP="006C029D">
      <w:pPr>
        <w:ind w:left="709"/>
        <w:jc w:val="both"/>
        <w:rPr>
          <w:rFonts w:ascii="Arial" w:eastAsia="Calibri" w:hAnsi="Arial" w:cs="Arial"/>
          <w:spacing w:val="-1"/>
          <w:sz w:val="17"/>
          <w:szCs w:val="17"/>
        </w:rPr>
      </w:pPr>
    </w:p>
    <w:p w:rsidR="0034013F" w:rsidRDefault="0034013F" w:rsidP="006C029D">
      <w:pPr>
        <w:ind w:left="709"/>
        <w:jc w:val="both"/>
        <w:rPr>
          <w:rFonts w:ascii="Arial" w:eastAsia="Calibri" w:hAnsi="Arial" w:cs="Arial"/>
          <w:spacing w:val="-1"/>
          <w:sz w:val="17"/>
          <w:szCs w:val="17"/>
        </w:rPr>
      </w:pPr>
      <w:r>
        <w:rPr>
          <w:rFonts w:ascii="Arial" w:eastAsia="Calibri" w:hAnsi="Arial" w:cs="Arial"/>
          <w:spacing w:val="-1"/>
          <w:sz w:val="17"/>
          <w:szCs w:val="17"/>
        </w:rPr>
        <w:t xml:space="preserve">En la cuenta </w:t>
      </w:r>
      <w:r w:rsidRPr="0034013F">
        <w:rPr>
          <w:rFonts w:ascii="Arial" w:eastAsia="Calibri" w:hAnsi="Arial" w:cs="Arial"/>
          <w:spacing w:val="-1"/>
          <w:sz w:val="17"/>
          <w:szCs w:val="17"/>
        </w:rPr>
        <w:t>Fondos y Bienes de Terceros en Garantía y/o en Administración a Largo Plazo</w:t>
      </w:r>
      <w:r>
        <w:rPr>
          <w:rFonts w:ascii="Arial" w:eastAsia="Calibri" w:hAnsi="Arial" w:cs="Arial"/>
          <w:spacing w:val="-1"/>
          <w:sz w:val="17"/>
          <w:szCs w:val="17"/>
        </w:rPr>
        <w:t xml:space="preserve"> se informa un saldo de </w:t>
      </w:r>
      <w:r w:rsidR="0006008C" w:rsidRPr="0006008C">
        <w:rPr>
          <w:rFonts w:ascii="Arial" w:eastAsia="Calibri" w:hAnsi="Arial" w:cs="Arial"/>
          <w:spacing w:val="-1"/>
          <w:sz w:val="17"/>
          <w:szCs w:val="17"/>
        </w:rPr>
        <w:t>29,503,825</w:t>
      </w:r>
      <w:r w:rsidR="0006008C">
        <w:rPr>
          <w:rFonts w:ascii="Arial" w:eastAsia="Calibri" w:hAnsi="Arial" w:cs="Arial"/>
          <w:spacing w:val="-1"/>
          <w:sz w:val="17"/>
          <w:szCs w:val="17"/>
        </w:rPr>
        <w:t xml:space="preserve"> </w:t>
      </w:r>
      <w:r>
        <w:rPr>
          <w:rFonts w:ascii="Arial" w:eastAsia="Calibri" w:hAnsi="Arial" w:cs="Arial"/>
          <w:spacing w:val="-1"/>
          <w:sz w:val="17"/>
          <w:szCs w:val="17"/>
        </w:rPr>
        <w:t>correspondientes a la Fiscalía General del Estado de Querétaro.</w:t>
      </w:r>
    </w:p>
    <w:p w:rsidR="006C029D" w:rsidRPr="006C029D" w:rsidRDefault="006C029D" w:rsidP="006C029D">
      <w:pPr>
        <w:ind w:left="709"/>
        <w:jc w:val="both"/>
        <w:rPr>
          <w:rFonts w:ascii="Arial" w:eastAsia="Calibri" w:hAnsi="Arial" w:cs="Arial"/>
          <w:spacing w:val="-1"/>
          <w:sz w:val="17"/>
          <w:szCs w:val="17"/>
        </w:rPr>
      </w:pPr>
    </w:p>
    <w:p w:rsidR="00F535B4" w:rsidRDefault="006C029D" w:rsidP="00F535B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00F535B4">
        <w:rPr>
          <w:rFonts w:ascii="Arial" w:eastAsia="Calibri" w:hAnsi="Arial" w:cs="Arial"/>
          <w:spacing w:val="-1"/>
          <w:sz w:val="17"/>
          <w:szCs w:val="17"/>
        </w:rPr>
        <w:t xml:space="preserve">e informa el saldo del rubro </w:t>
      </w:r>
      <w:r w:rsidR="00F535B4" w:rsidRPr="00F535B4">
        <w:rPr>
          <w:rFonts w:ascii="Arial" w:eastAsia="Calibri" w:hAnsi="Arial" w:cs="Arial"/>
          <w:spacing w:val="-1"/>
          <w:sz w:val="17"/>
          <w:szCs w:val="17"/>
        </w:rPr>
        <w:t xml:space="preserve">Provisiones a Largo Plazo </w:t>
      </w:r>
      <w:r w:rsidR="00F535B4">
        <w:rPr>
          <w:rFonts w:ascii="Arial" w:eastAsia="Calibri" w:hAnsi="Arial" w:cs="Arial"/>
          <w:spacing w:val="-1"/>
          <w:sz w:val="17"/>
          <w:szCs w:val="17"/>
        </w:rPr>
        <w:t xml:space="preserve">al 31 de diciembre del </w:t>
      </w:r>
      <w:r w:rsidR="00582811">
        <w:rPr>
          <w:rFonts w:ascii="Arial" w:eastAsia="Calibri" w:hAnsi="Arial" w:cs="Arial"/>
          <w:spacing w:val="-1"/>
          <w:sz w:val="17"/>
          <w:szCs w:val="17"/>
        </w:rPr>
        <w:t>2017</w:t>
      </w:r>
      <w:r w:rsidR="00F535B4">
        <w:rPr>
          <w:rFonts w:ascii="Arial" w:eastAsia="Calibri" w:hAnsi="Arial" w:cs="Arial"/>
          <w:spacing w:val="-1"/>
          <w:sz w:val="17"/>
          <w:szCs w:val="17"/>
        </w:rPr>
        <w:t>:</w:t>
      </w:r>
    </w:p>
    <w:p w:rsidR="00F535B4" w:rsidRPr="005540CE" w:rsidRDefault="00F535B4" w:rsidP="00F535B4">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535B4" w:rsidRPr="002D70DA" w:rsidTr="0096530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535B4" w:rsidRPr="002D70DA" w:rsidRDefault="00F535B4"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535B4" w:rsidRPr="002D70DA" w:rsidRDefault="00582811" w:rsidP="00603D16">
            <w:pPr>
              <w:jc w:val="center"/>
              <w:rPr>
                <w:rFonts w:ascii="Arial" w:hAnsi="Arial" w:cs="Arial"/>
                <w:b/>
                <w:bCs/>
                <w:color w:val="000000"/>
                <w:sz w:val="17"/>
                <w:szCs w:val="17"/>
              </w:rPr>
            </w:pPr>
            <w:r>
              <w:rPr>
                <w:rFonts w:ascii="Arial" w:hAnsi="Arial" w:cs="Arial"/>
                <w:b/>
                <w:bCs/>
                <w:color w:val="000000"/>
                <w:sz w:val="17"/>
                <w:szCs w:val="17"/>
              </w:rPr>
              <w:t>2017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535B4" w:rsidRPr="002D70DA" w:rsidRDefault="00582811" w:rsidP="00603D16">
            <w:pPr>
              <w:jc w:val="center"/>
              <w:rPr>
                <w:rFonts w:ascii="Arial" w:hAnsi="Arial" w:cs="Arial"/>
                <w:b/>
                <w:bCs/>
                <w:color w:val="000000"/>
                <w:sz w:val="17"/>
                <w:szCs w:val="17"/>
              </w:rPr>
            </w:pPr>
            <w:r>
              <w:rPr>
                <w:rFonts w:ascii="Arial" w:hAnsi="Arial" w:cs="Arial"/>
                <w:b/>
                <w:bCs/>
                <w:color w:val="000000"/>
                <w:sz w:val="17"/>
                <w:szCs w:val="17"/>
              </w:rPr>
              <w:t>2016</w:t>
            </w:r>
          </w:p>
        </w:tc>
      </w:tr>
      <w:tr w:rsidR="00F535B4" w:rsidRPr="002D70DA" w:rsidTr="00C176C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535B4" w:rsidRPr="00434092" w:rsidRDefault="00F535B4" w:rsidP="00603D16">
            <w:pPr>
              <w:rPr>
                <w:rFonts w:ascii="Arial" w:hAnsi="Arial" w:cs="Arial"/>
                <w:sz w:val="17"/>
                <w:szCs w:val="17"/>
              </w:rPr>
            </w:pPr>
            <w:r w:rsidRPr="00F535B4">
              <w:rPr>
                <w:rFonts w:ascii="Arial" w:hAnsi="Arial" w:cs="Arial"/>
                <w:sz w:val="17"/>
                <w:szCs w:val="17"/>
              </w:rPr>
              <w:t>Provisión para Pensiones a Largo Plazo</w:t>
            </w:r>
          </w:p>
        </w:tc>
        <w:tc>
          <w:tcPr>
            <w:tcW w:w="2091" w:type="dxa"/>
            <w:tcBorders>
              <w:top w:val="single" w:sz="4" w:space="0" w:color="auto"/>
              <w:left w:val="nil"/>
              <w:bottom w:val="single" w:sz="4" w:space="0" w:color="auto"/>
              <w:right w:val="single" w:sz="4" w:space="0" w:color="auto"/>
            </w:tcBorders>
            <w:shd w:val="clear" w:color="auto" w:fill="auto"/>
          </w:tcPr>
          <w:p w:rsidR="00F535B4" w:rsidRPr="00434092" w:rsidRDefault="00561587" w:rsidP="00603D16">
            <w:pPr>
              <w:jc w:val="right"/>
              <w:rPr>
                <w:rFonts w:ascii="Arial" w:hAnsi="Arial" w:cs="Arial"/>
                <w:sz w:val="17"/>
                <w:szCs w:val="17"/>
              </w:rPr>
            </w:pPr>
            <w:r w:rsidRPr="00561587">
              <w:rPr>
                <w:rFonts w:ascii="Arial" w:hAnsi="Arial" w:cs="Arial"/>
                <w:sz w:val="17"/>
                <w:szCs w:val="17"/>
              </w:rPr>
              <w:t>135,410,177</w:t>
            </w:r>
          </w:p>
        </w:tc>
        <w:tc>
          <w:tcPr>
            <w:tcW w:w="2148" w:type="dxa"/>
            <w:tcBorders>
              <w:top w:val="nil"/>
              <w:left w:val="single" w:sz="4" w:space="0" w:color="auto"/>
              <w:bottom w:val="single" w:sz="4" w:space="0" w:color="auto"/>
              <w:right w:val="single" w:sz="4" w:space="0" w:color="auto"/>
            </w:tcBorders>
            <w:shd w:val="clear" w:color="auto" w:fill="auto"/>
          </w:tcPr>
          <w:p w:rsidR="00F535B4" w:rsidRPr="00434092" w:rsidRDefault="00561587" w:rsidP="00603D16">
            <w:pPr>
              <w:jc w:val="right"/>
              <w:rPr>
                <w:rFonts w:ascii="Arial" w:hAnsi="Arial" w:cs="Arial"/>
                <w:sz w:val="17"/>
                <w:szCs w:val="17"/>
              </w:rPr>
            </w:pPr>
            <w:r w:rsidRPr="00F535B4">
              <w:rPr>
                <w:rFonts w:ascii="Arial" w:hAnsi="Arial" w:cs="Arial"/>
                <w:sz w:val="17"/>
                <w:szCs w:val="17"/>
              </w:rPr>
              <w:t>118,784,260</w:t>
            </w:r>
          </w:p>
        </w:tc>
      </w:tr>
    </w:tbl>
    <w:p w:rsidR="006C029D" w:rsidRDefault="006C029D">
      <w:pPr>
        <w:rPr>
          <w:rFonts w:ascii="Arial" w:hAnsi="Arial" w:cs="Arial"/>
          <w:b/>
          <w:sz w:val="17"/>
          <w:szCs w:val="17"/>
        </w:rPr>
      </w:pPr>
    </w:p>
    <w:p w:rsidR="00BF21A9" w:rsidRPr="006C029D" w:rsidRDefault="006C029D" w:rsidP="006C029D">
      <w:pPr>
        <w:ind w:left="709"/>
        <w:rPr>
          <w:rFonts w:ascii="Arial" w:eastAsia="Calibri" w:hAnsi="Arial" w:cs="Arial"/>
          <w:spacing w:val="-1"/>
          <w:sz w:val="17"/>
          <w:szCs w:val="17"/>
        </w:rPr>
      </w:pPr>
      <w:r w:rsidRPr="006C029D">
        <w:rPr>
          <w:rFonts w:ascii="Arial" w:eastAsia="Calibri" w:hAnsi="Arial" w:cs="Arial"/>
          <w:spacing w:val="-1"/>
          <w:sz w:val="17"/>
          <w:szCs w:val="17"/>
        </w:rPr>
        <w:t xml:space="preserve">El saldo que se presenta corresponde </w:t>
      </w:r>
      <w:r>
        <w:rPr>
          <w:rFonts w:ascii="Arial" w:eastAsia="Calibri" w:hAnsi="Arial" w:cs="Arial"/>
          <w:spacing w:val="-1"/>
          <w:sz w:val="17"/>
          <w:szCs w:val="17"/>
        </w:rPr>
        <w:t>al Poder Ejecutivo y representa l</w:t>
      </w:r>
      <w:r w:rsidRPr="006C029D">
        <w:rPr>
          <w:rFonts w:ascii="Arial" w:eastAsia="Calibri" w:hAnsi="Arial" w:cs="Arial"/>
          <w:spacing w:val="-1"/>
          <w:sz w:val="17"/>
          <w:szCs w:val="17"/>
        </w:rPr>
        <w:t xml:space="preserve">a reserva actuarial. El incremento del </w:t>
      </w:r>
      <w:r w:rsidR="00561587">
        <w:rPr>
          <w:rFonts w:ascii="Arial" w:eastAsia="Calibri" w:hAnsi="Arial" w:cs="Arial"/>
          <w:spacing w:val="-1"/>
          <w:sz w:val="17"/>
          <w:szCs w:val="17"/>
        </w:rPr>
        <w:t>1</w:t>
      </w:r>
      <w:r w:rsidRPr="006C029D">
        <w:rPr>
          <w:rFonts w:ascii="Arial" w:eastAsia="Calibri" w:hAnsi="Arial" w:cs="Arial"/>
          <w:spacing w:val="-1"/>
          <w:sz w:val="17"/>
          <w:szCs w:val="17"/>
        </w:rPr>
        <w:t>4% obedece a intereses generados en el ejercicio que se informa.</w:t>
      </w:r>
      <w:r w:rsidR="00BF21A9" w:rsidRPr="006C029D">
        <w:rPr>
          <w:rFonts w:ascii="Arial" w:eastAsia="Calibri" w:hAnsi="Arial" w:cs="Arial"/>
          <w:spacing w:val="-1"/>
          <w:sz w:val="17"/>
          <w:szCs w:val="17"/>
        </w:rPr>
        <w:br w:type="page"/>
      </w:r>
    </w:p>
    <w:p w:rsidR="00CF338E" w:rsidRPr="002D70DA" w:rsidRDefault="00CF338E" w:rsidP="0081239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812398">
      <w:pPr>
        <w:pStyle w:val="Prrafodelista"/>
        <w:numPr>
          <w:ilvl w:val="0"/>
          <w:numId w:val="13"/>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82811">
        <w:rPr>
          <w:rFonts w:ascii="Arial" w:eastAsia="Calibri" w:hAnsi="Arial" w:cs="Arial"/>
          <w:spacing w:val="-1"/>
          <w:sz w:val="17"/>
          <w:szCs w:val="17"/>
        </w:rPr>
        <w:t>2017</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E90D1D">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582811">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582811">
            <w:pPr>
              <w:jc w:val="center"/>
              <w:rPr>
                <w:rFonts w:ascii="Arial" w:hAnsi="Arial" w:cs="Arial"/>
                <w:b/>
                <w:bCs/>
                <w:color w:val="000000"/>
                <w:sz w:val="17"/>
                <w:szCs w:val="17"/>
              </w:rPr>
            </w:pPr>
            <w:r>
              <w:rPr>
                <w:rFonts w:ascii="Arial" w:hAnsi="Arial" w:cs="Arial"/>
                <w:b/>
                <w:bCs/>
                <w:color w:val="000000"/>
                <w:sz w:val="17"/>
                <w:szCs w:val="17"/>
              </w:rPr>
              <w:t>2016</w:t>
            </w:r>
          </w:p>
        </w:tc>
      </w:tr>
      <w:tr w:rsidR="00B02ACE" w:rsidRPr="00882163" w:rsidTr="00E90D1D">
        <w:trPr>
          <w:trHeight w:val="8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B02ACE" w:rsidRPr="001E79D9" w:rsidRDefault="00B02ACE" w:rsidP="00B02ACE">
            <w:pPr>
              <w:rPr>
                <w:rFonts w:ascii="Arial" w:hAnsi="Arial" w:cs="Arial"/>
                <w:b/>
                <w:sz w:val="17"/>
                <w:szCs w:val="17"/>
              </w:rPr>
            </w:pPr>
            <w:r w:rsidRPr="001E79D9">
              <w:rPr>
                <w:rFonts w:ascii="Arial" w:hAnsi="Arial" w:cs="Arial"/>
                <w:b/>
                <w:sz w:val="17"/>
                <w:szCs w:val="17"/>
              </w:rPr>
              <w:t>Impuestos</w:t>
            </w:r>
          </w:p>
        </w:tc>
        <w:tc>
          <w:tcPr>
            <w:tcW w:w="2180" w:type="dxa"/>
            <w:tcBorders>
              <w:top w:val="single" w:sz="4" w:space="0" w:color="auto"/>
              <w:left w:val="nil"/>
              <w:bottom w:val="single" w:sz="4" w:space="0" w:color="auto"/>
              <w:right w:val="single" w:sz="4" w:space="0" w:color="auto"/>
            </w:tcBorders>
            <w:shd w:val="clear" w:color="auto" w:fill="auto"/>
            <w:vAlign w:val="center"/>
          </w:tcPr>
          <w:p w:rsidR="00B02ACE" w:rsidRPr="001E79D9" w:rsidRDefault="00B02ACE" w:rsidP="00B02ACE">
            <w:pPr>
              <w:jc w:val="right"/>
              <w:rPr>
                <w:rFonts w:ascii="Arial" w:hAnsi="Arial" w:cs="Arial"/>
                <w:b/>
                <w:sz w:val="17"/>
                <w:szCs w:val="17"/>
              </w:rPr>
            </w:pPr>
            <w:r w:rsidRPr="00B02ACE">
              <w:rPr>
                <w:rFonts w:ascii="Arial" w:hAnsi="Arial" w:cs="Arial"/>
                <w:b/>
                <w:sz w:val="17"/>
                <w:szCs w:val="17"/>
              </w:rPr>
              <w:t>2,965,234,691</w:t>
            </w:r>
          </w:p>
        </w:tc>
        <w:tc>
          <w:tcPr>
            <w:tcW w:w="2180" w:type="dxa"/>
            <w:tcBorders>
              <w:top w:val="single" w:sz="4" w:space="0" w:color="auto"/>
              <w:left w:val="nil"/>
              <w:bottom w:val="single" w:sz="4" w:space="0" w:color="auto"/>
              <w:right w:val="single" w:sz="4" w:space="0" w:color="auto"/>
            </w:tcBorders>
            <w:shd w:val="clear" w:color="auto" w:fill="auto"/>
            <w:vAlign w:val="center"/>
          </w:tcPr>
          <w:p w:rsidR="00B02ACE" w:rsidRPr="001E79D9" w:rsidRDefault="00B02ACE" w:rsidP="00B02ACE">
            <w:pPr>
              <w:jc w:val="right"/>
              <w:rPr>
                <w:rFonts w:ascii="Arial" w:hAnsi="Arial" w:cs="Arial"/>
                <w:b/>
                <w:sz w:val="17"/>
                <w:szCs w:val="17"/>
              </w:rPr>
            </w:pPr>
            <w:r w:rsidRPr="001E79D9">
              <w:rPr>
                <w:rFonts w:ascii="Arial" w:hAnsi="Arial" w:cs="Arial"/>
                <w:b/>
                <w:sz w:val="17"/>
                <w:szCs w:val="17"/>
              </w:rPr>
              <w:t>2,733,002,904</w:t>
            </w:r>
          </w:p>
        </w:tc>
      </w:tr>
      <w:tr w:rsidR="00B02ACE"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02ACE" w:rsidRPr="001E79D9" w:rsidRDefault="00B02ACE" w:rsidP="00B02ACE">
            <w:pPr>
              <w:rPr>
                <w:rFonts w:ascii="Arial" w:hAnsi="Arial" w:cs="Arial"/>
                <w:b/>
                <w:sz w:val="17"/>
                <w:szCs w:val="17"/>
              </w:rPr>
            </w:pPr>
            <w:r w:rsidRPr="001E79D9">
              <w:rPr>
                <w:rFonts w:ascii="Arial" w:hAnsi="Arial" w:cs="Arial"/>
                <w:b/>
                <w:sz w:val="17"/>
                <w:szCs w:val="17"/>
              </w:rPr>
              <w:t>Contribuciones de Mejoras por Obras Públicas</w:t>
            </w:r>
          </w:p>
        </w:tc>
        <w:tc>
          <w:tcPr>
            <w:tcW w:w="2180" w:type="dxa"/>
            <w:tcBorders>
              <w:top w:val="nil"/>
              <w:left w:val="nil"/>
              <w:bottom w:val="single" w:sz="4" w:space="0" w:color="auto"/>
              <w:right w:val="single" w:sz="4" w:space="0" w:color="auto"/>
            </w:tcBorders>
            <w:shd w:val="clear" w:color="auto" w:fill="auto"/>
          </w:tcPr>
          <w:p w:rsidR="00B02ACE" w:rsidRPr="001E79D9" w:rsidRDefault="00B02ACE" w:rsidP="00B02ACE">
            <w:pPr>
              <w:jc w:val="right"/>
              <w:rPr>
                <w:rFonts w:ascii="Arial" w:hAnsi="Arial" w:cs="Arial"/>
                <w:b/>
                <w:sz w:val="17"/>
                <w:szCs w:val="17"/>
              </w:rPr>
            </w:pPr>
            <w:r w:rsidRPr="001E79D9">
              <w:rPr>
                <w:rFonts w:ascii="Arial" w:hAnsi="Arial" w:cs="Arial"/>
                <w:b/>
                <w:sz w:val="17"/>
                <w:szCs w:val="17"/>
              </w:rPr>
              <w:t xml:space="preserve">0 </w:t>
            </w:r>
          </w:p>
        </w:tc>
        <w:tc>
          <w:tcPr>
            <w:tcW w:w="2180" w:type="dxa"/>
            <w:tcBorders>
              <w:top w:val="nil"/>
              <w:left w:val="nil"/>
              <w:bottom w:val="single" w:sz="4" w:space="0" w:color="auto"/>
              <w:right w:val="single" w:sz="4" w:space="0" w:color="auto"/>
            </w:tcBorders>
            <w:shd w:val="clear" w:color="auto" w:fill="auto"/>
          </w:tcPr>
          <w:p w:rsidR="00B02ACE" w:rsidRPr="001E79D9" w:rsidRDefault="00B02ACE" w:rsidP="00B02ACE">
            <w:pPr>
              <w:jc w:val="right"/>
              <w:rPr>
                <w:rFonts w:ascii="Arial" w:hAnsi="Arial" w:cs="Arial"/>
                <w:b/>
                <w:sz w:val="17"/>
                <w:szCs w:val="17"/>
              </w:rPr>
            </w:pPr>
            <w:r w:rsidRPr="001E79D9">
              <w:rPr>
                <w:rFonts w:ascii="Arial" w:hAnsi="Arial" w:cs="Arial"/>
                <w:b/>
                <w:sz w:val="17"/>
                <w:szCs w:val="17"/>
              </w:rPr>
              <w:t xml:space="preserve">0 </w:t>
            </w:r>
          </w:p>
        </w:tc>
      </w:tr>
      <w:tr w:rsidR="00B02ACE"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02ACE" w:rsidRPr="001E79D9" w:rsidRDefault="00B02ACE" w:rsidP="00B02ACE">
            <w:pPr>
              <w:rPr>
                <w:rFonts w:ascii="Arial" w:hAnsi="Arial" w:cs="Arial"/>
                <w:b/>
                <w:sz w:val="17"/>
                <w:szCs w:val="17"/>
              </w:rPr>
            </w:pPr>
            <w:r w:rsidRPr="001E79D9">
              <w:rPr>
                <w:rFonts w:ascii="Arial" w:hAnsi="Arial" w:cs="Arial"/>
                <w:b/>
                <w:sz w:val="17"/>
                <w:szCs w:val="17"/>
              </w:rPr>
              <w:t>Derechos</w:t>
            </w:r>
          </w:p>
        </w:tc>
        <w:tc>
          <w:tcPr>
            <w:tcW w:w="2180" w:type="dxa"/>
            <w:tcBorders>
              <w:top w:val="nil"/>
              <w:left w:val="nil"/>
              <w:bottom w:val="single" w:sz="4" w:space="0" w:color="auto"/>
              <w:right w:val="single" w:sz="4" w:space="0" w:color="auto"/>
            </w:tcBorders>
            <w:shd w:val="clear" w:color="auto" w:fill="auto"/>
          </w:tcPr>
          <w:p w:rsidR="00B02ACE" w:rsidRPr="001E79D9" w:rsidRDefault="00B02ACE" w:rsidP="00B02ACE">
            <w:pPr>
              <w:jc w:val="right"/>
              <w:rPr>
                <w:rFonts w:ascii="Arial" w:hAnsi="Arial" w:cs="Arial"/>
                <w:b/>
                <w:sz w:val="17"/>
                <w:szCs w:val="17"/>
              </w:rPr>
            </w:pPr>
            <w:r w:rsidRPr="00B02ACE">
              <w:rPr>
                <w:rFonts w:ascii="Arial" w:hAnsi="Arial" w:cs="Arial"/>
                <w:b/>
                <w:sz w:val="17"/>
                <w:szCs w:val="17"/>
              </w:rPr>
              <w:t>1,355,338,470</w:t>
            </w:r>
          </w:p>
        </w:tc>
        <w:tc>
          <w:tcPr>
            <w:tcW w:w="2180" w:type="dxa"/>
            <w:tcBorders>
              <w:top w:val="nil"/>
              <w:left w:val="nil"/>
              <w:bottom w:val="single" w:sz="4" w:space="0" w:color="auto"/>
              <w:right w:val="single" w:sz="4" w:space="0" w:color="auto"/>
            </w:tcBorders>
            <w:shd w:val="clear" w:color="auto" w:fill="auto"/>
          </w:tcPr>
          <w:p w:rsidR="00B02ACE" w:rsidRPr="001E79D9" w:rsidRDefault="00B02ACE" w:rsidP="00B02ACE">
            <w:pPr>
              <w:jc w:val="right"/>
              <w:rPr>
                <w:rFonts w:ascii="Arial" w:hAnsi="Arial" w:cs="Arial"/>
                <w:b/>
                <w:sz w:val="17"/>
                <w:szCs w:val="17"/>
              </w:rPr>
            </w:pPr>
            <w:r w:rsidRPr="0069006F">
              <w:rPr>
                <w:rFonts w:ascii="Arial" w:hAnsi="Arial" w:cs="Arial"/>
                <w:b/>
                <w:sz w:val="17"/>
                <w:szCs w:val="17"/>
              </w:rPr>
              <w:t>1,196,613,554</w:t>
            </w:r>
          </w:p>
        </w:tc>
      </w:tr>
      <w:tr w:rsidR="00B02ACE" w:rsidRPr="001E79D9"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02ACE" w:rsidRPr="001E79D9" w:rsidRDefault="00B02ACE" w:rsidP="00B02ACE">
            <w:pPr>
              <w:rPr>
                <w:rFonts w:ascii="Arial" w:hAnsi="Arial" w:cs="Arial"/>
                <w:b/>
                <w:sz w:val="17"/>
                <w:szCs w:val="17"/>
              </w:rPr>
            </w:pPr>
            <w:r w:rsidRPr="001E79D9">
              <w:rPr>
                <w:rFonts w:ascii="Arial" w:hAnsi="Arial" w:cs="Arial"/>
                <w:b/>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B02ACE" w:rsidRPr="001E79D9" w:rsidRDefault="00B02ACE" w:rsidP="00B02ACE">
            <w:pPr>
              <w:jc w:val="right"/>
              <w:rPr>
                <w:rFonts w:ascii="Arial" w:hAnsi="Arial" w:cs="Arial"/>
                <w:b/>
                <w:sz w:val="17"/>
                <w:szCs w:val="17"/>
              </w:rPr>
            </w:pPr>
            <w:r w:rsidRPr="00B02ACE">
              <w:rPr>
                <w:rFonts w:ascii="Arial" w:hAnsi="Arial" w:cs="Arial"/>
                <w:b/>
                <w:sz w:val="17"/>
                <w:szCs w:val="17"/>
              </w:rPr>
              <w:t>559,503,893</w:t>
            </w:r>
          </w:p>
        </w:tc>
        <w:tc>
          <w:tcPr>
            <w:tcW w:w="2180" w:type="dxa"/>
            <w:tcBorders>
              <w:top w:val="nil"/>
              <w:left w:val="nil"/>
              <w:bottom w:val="single" w:sz="4" w:space="0" w:color="auto"/>
              <w:right w:val="single" w:sz="4" w:space="0" w:color="auto"/>
            </w:tcBorders>
            <w:shd w:val="clear" w:color="auto" w:fill="auto"/>
          </w:tcPr>
          <w:p w:rsidR="00B02ACE" w:rsidRPr="001E79D9" w:rsidRDefault="00B02ACE" w:rsidP="00B02ACE">
            <w:pPr>
              <w:jc w:val="right"/>
              <w:rPr>
                <w:rFonts w:ascii="Arial" w:hAnsi="Arial" w:cs="Arial"/>
                <w:b/>
                <w:sz w:val="17"/>
                <w:szCs w:val="17"/>
              </w:rPr>
            </w:pPr>
            <w:r w:rsidRPr="00B13AC2">
              <w:rPr>
                <w:rFonts w:ascii="Arial" w:hAnsi="Arial" w:cs="Arial"/>
                <w:b/>
                <w:sz w:val="17"/>
                <w:szCs w:val="17"/>
              </w:rPr>
              <w:t>277,528,343</w:t>
            </w:r>
          </w:p>
        </w:tc>
      </w:tr>
      <w:tr w:rsidR="00B02ACE"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02ACE" w:rsidRPr="001E79D9" w:rsidRDefault="00B02ACE" w:rsidP="00B02ACE">
            <w:pPr>
              <w:rPr>
                <w:rFonts w:ascii="Arial" w:hAnsi="Arial" w:cs="Arial"/>
                <w:b/>
                <w:sz w:val="17"/>
                <w:szCs w:val="17"/>
              </w:rPr>
            </w:pPr>
            <w:r w:rsidRPr="001E79D9">
              <w:rPr>
                <w:rFonts w:ascii="Arial" w:hAnsi="Arial" w:cs="Arial"/>
                <w:b/>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B02ACE" w:rsidRPr="001E79D9" w:rsidRDefault="00B02ACE" w:rsidP="00B02ACE">
            <w:pPr>
              <w:jc w:val="right"/>
              <w:rPr>
                <w:rFonts w:ascii="Arial" w:hAnsi="Arial" w:cs="Arial"/>
                <w:b/>
                <w:sz w:val="17"/>
                <w:szCs w:val="17"/>
              </w:rPr>
            </w:pPr>
            <w:r w:rsidRPr="00B02ACE">
              <w:rPr>
                <w:rFonts w:ascii="Arial" w:hAnsi="Arial" w:cs="Arial"/>
                <w:b/>
                <w:sz w:val="17"/>
                <w:szCs w:val="17"/>
              </w:rPr>
              <w:t>931,276,024</w:t>
            </w:r>
          </w:p>
        </w:tc>
        <w:tc>
          <w:tcPr>
            <w:tcW w:w="2180" w:type="dxa"/>
            <w:tcBorders>
              <w:top w:val="nil"/>
              <w:left w:val="nil"/>
              <w:bottom w:val="single" w:sz="4" w:space="0" w:color="auto"/>
              <w:right w:val="single" w:sz="4" w:space="0" w:color="auto"/>
            </w:tcBorders>
            <w:shd w:val="clear" w:color="auto" w:fill="auto"/>
          </w:tcPr>
          <w:p w:rsidR="00B02ACE" w:rsidRPr="001E79D9" w:rsidRDefault="00B02ACE" w:rsidP="00B02ACE">
            <w:pPr>
              <w:jc w:val="right"/>
              <w:rPr>
                <w:rFonts w:ascii="Arial" w:hAnsi="Arial" w:cs="Arial"/>
                <w:b/>
                <w:sz w:val="17"/>
                <w:szCs w:val="17"/>
              </w:rPr>
            </w:pPr>
            <w:r w:rsidRPr="00E90D1D">
              <w:rPr>
                <w:rFonts w:ascii="Arial" w:hAnsi="Arial" w:cs="Arial"/>
                <w:b/>
                <w:sz w:val="17"/>
                <w:szCs w:val="17"/>
              </w:rPr>
              <w:t>787,663,959</w:t>
            </w:r>
          </w:p>
        </w:tc>
      </w:tr>
      <w:tr w:rsidR="00B02ACE" w:rsidTr="00E90D1D">
        <w:trPr>
          <w:trHeight w:val="160"/>
          <w:jc w:val="center"/>
        </w:trPr>
        <w:tc>
          <w:tcPr>
            <w:tcW w:w="4900" w:type="dxa"/>
            <w:tcBorders>
              <w:top w:val="nil"/>
              <w:left w:val="single" w:sz="4" w:space="0" w:color="auto"/>
              <w:bottom w:val="single" w:sz="4" w:space="0" w:color="auto"/>
              <w:right w:val="single" w:sz="4" w:space="0" w:color="auto"/>
            </w:tcBorders>
            <w:shd w:val="clear" w:color="auto" w:fill="auto"/>
          </w:tcPr>
          <w:p w:rsidR="00B02ACE" w:rsidRPr="001E79D9" w:rsidRDefault="00B02ACE" w:rsidP="00B02ACE">
            <w:pPr>
              <w:rPr>
                <w:rFonts w:ascii="Arial" w:hAnsi="Arial" w:cs="Arial"/>
                <w:b/>
                <w:sz w:val="17"/>
                <w:szCs w:val="17"/>
              </w:rPr>
            </w:pPr>
            <w:r w:rsidRPr="001E79D9">
              <w:rPr>
                <w:rFonts w:ascii="Arial" w:hAnsi="Arial" w:cs="Arial"/>
                <w:b/>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B02ACE" w:rsidRPr="001E79D9" w:rsidRDefault="00B02ACE" w:rsidP="00B02ACE">
            <w:pPr>
              <w:jc w:val="right"/>
              <w:rPr>
                <w:rFonts w:ascii="Arial" w:hAnsi="Arial" w:cs="Arial"/>
                <w:b/>
                <w:sz w:val="17"/>
                <w:szCs w:val="17"/>
              </w:rPr>
            </w:pPr>
            <w:r w:rsidRPr="00B02ACE">
              <w:rPr>
                <w:rFonts w:ascii="Arial" w:hAnsi="Arial" w:cs="Arial"/>
                <w:b/>
                <w:sz w:val="17"/>
                <w:szCs w:val="17"/>
              </w:rPr>
              <w:t>405,578</w:t>
            </w:r>
          </w:p>
        </w:tc>
        <w:tc>
          <w:tcPr>
            <w:tcW w:w="2180" w:type="dxa"/>
            <w:tcBorders>
              <w:top w:val="nil"/>
              <w:left w:val="nil"/>
              <w:bottom w:val="single" w:sz="4" w:space="0" w:color="auto"/>
              <w:right w:val="single" w:sz="4" w:space="0" w:color="auto"/>
            </w:tcBorders>
            <w:shd w:val="clear" w:color="auto" w:fill="auto"/>
          </w:tcPr>
          <w:p w:rsidR="00B02ACE" w:rsidRPr="001E79D9" w:rsidRDefault="00B02ACE" w:rsidP="00B02ACE">
            <w:pPr>
              <w:jc w:val="right"/>
              <w:rPr>
                <w:rFonts w:ascii="Arial" w:hAnsi="Arial" w:cs="Arial"/>
                <w:b/>
                <w:sz w:val="17"/>
                <w:szCs w:val="17"/>
              </w:rPr>
            </w:pPr>
            <w:r w:rsidRPr="001E79D9">
              <w:rPr>
                <w:rFonts w:ascii="Arial" w:hAnsi="Arial" w:cs="Arial"/>
                <w:b/>
                <w:sz w:val="17"/>
                <w:szCs w:val="17"/>
              </w:rPr>
              <w:t>321,018</w:t>
            </w:r>
          </w:p>
        </w:tc>
      </w:tr>
      <w:tr w:rsidR="00B02ACE" w:rsidRPr="002D70DA" w:rsidTr="009915A4">
        <w:trPr>
          <w:trHeight w:val="240"/>
          <w:jc w:val="center"/>
        </w:trPr>
        <w:tc>
          <w:tcPr>
            <w:tcW w:w="4900" w:type="dxa"/>
            <w:tcBorders>
              <w:top w:val="nil"/>
              <w:left w:val="nil"/>
              <w:bottom w:val="nil"/>
              <w:right w:val="nil"/>
            </w:tcBorders>
            <w:shd w:val="clear" w:color="000000" w:fill="FFFFFF"/>
            <w:vAlign w:val="center"/>
            <w:hideMark/>
          </w:tcPr>
          <w:p w:rsidR="00B02ACE" w:rsidRPr="002D70DA" w:rsidRDefault="00B02ACE" w:rsidP="00B02ACE">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02ACE" w:rsidRPr="002D70DA" w:rsidRDefault="00B02ACE" w:rsidP="00B02ACE">
            <w:pPr>
              <w:jc w:val="right"/>
              <w:rPr>
                <w:rFonts w:ascii="Arial" w:hAnsi="Arial" w:cs="Arial"/>
                <w:b/>
                <w:bCs/>
                <w:color w:val="000000"/>
                <w:sz w:val="17"/>
                <w:szCs w:val="17"/>
              </w:rPr>
            </w:pPr>
            <w:r>
              <w:rPr>
                <w:rFonts w:ascii="Arial" w:hAnsi="Arial" w:cs="Arial"/>
                <w:b/>
                <w:bCs/>
                <w:color w:val="000000"/>
                <w:sz w:val="17"/>
                <w:szCs w:val="17"/>
                <w14:numForm w14:val="lining"/>
              </w:rPr>
              <w:t>5,811,758,657</w:t>
            </w:r>
          </w:p>
        </w:tc>
        <w:tc>
          <w:tcPr>
            <w:tcW w:w="2180" w:type="dxa"/>
            <w:tcBorders>
              <w:top w:val="single" w:sz="4" w:space="0" w:color="auto"/>
              <w:left w:val="nil"/>
              <w:bottom w:val="single" w:sz="4" w:space="0" w:color="auto"/>
              <w:right w:val="single" w:sz="4" w:space="0" w:color="auto"/>
            </w:tcBorders>
            <w:shd w:val="clear" w:color="000000" w:fill="FFFFFF"/>
            <w:noWrap/>
            <w:vAlign w:val="center"/>
            <w:hideMark/>
          </w:tcPr>
          <w:p w:rsidR="00B02ACE" w:rsidRPr="002D70DA" w:rsidRDefault="00B02ACE" w:rsidP="00B02ACE">
            <w:pPr>
              <w:jc w:val="right"/>
              <w:rPr>
                <w:rFonts w:ascii="Arial" w:hAnsi="Arial" w:cs="Arial"/>
                <w:b/>
                <w:bCs/>
                <w:color w:val="000000"/>
                <w:sz w:val="17"/>
                <w:szCs w:val="17"/>
              </w:rPr>
            </w:pPr>
            <w:r w:rsidRPr="00E90D1D">
              <w:rPr>
                <w:rFonts w:ascii="Arial" w:hAnsi="Arial" w:cs="Arial"/>
                <w:b/>
                <w:bCs/>
                <w:color w:val="000000"/>
                <w:sz w:val="17"/>
                <w:szCs w:val="17"/>
                <w14:numForm w14:val="lining"/>
              </w:rPr>
              <w:t>4,995,129,778</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2A6C" w:rsidRPr="002D70DA" w:rsidRDefault="00752A6C"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2A6C"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2A6C"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2E46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E46D5" w:rsidRPr="006C5E04" w:rsidRDefault="002E46D5" w:rsidP="002E46D5">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2E46D5" w:rsidP="002E46D5">
            <w:pPr>
              <w:jc w:val="right"/>
              <w:rPr>
                <w:rFonts w:ascii="Arial" w:hAnsi="Arial" w:cs="Arial"/>
                <w:b/>
                <w:sz w:val="17"/>
                <w:szCs w:val="17"/>
              </w:rPr>
            </w:pPr>
            <w:r w:rsidRPr="002E46D5">
              <w:rPr>
                <w:rFonts w:ascii="Arial" w:hAnsi="Arial" w:cs="Arial"/>
                <w:b/>
                <w:sz w:val="17"/>
                <w:szCs w:val="17"/>
              </w:rPr>
              <w:t>5,750,793,067</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2E46D5" w:rsidP="002E46D5">
            <w:pPr>
              <w:jc w:val="right"/>
              <w:rPr>
                <w:rFonts w:ascii="Arial" w:hAnsi="Arial" w:cs="Arial"/>
                <w:b/>
                <w:sz w:val="17"/>
                <w:szCs w:val="17"/>
              </w:rPr>
            </w:pPr>
            <w:r w:rsidRPr="00307CCF">
              <w:rPr>
                <w:rFonts w:ascii="Arial" w:hAnsi="Arial" w:cs="Arial"/>
                <w:b/>
                <w:sz w:val="17"/>
                <w:szCs w:val="17"/>
              </w:rPr>
              <w:t>4,968,223,020</w:t>
            </w:r>
          </w:p>
        </w:tc>
      </w:tr>
      <w:tr w:rsidR="002E46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E46D5" w:rsidRPr="006C5E04" w:rsidRDefault="002E46D5" w:rsidP="002E46D5">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2E46D5" w:rsidRPr="002E46D5" w:rsidRDefault="002E46D5" w:rsidP="002E46D5">
            <w:pPr>
              <w:jc w:val="right"/>
              <w:rPr>
                <w:rFonts w:ascii="Arial" w:hAnsi="Arial" w:cs="Arial"/>
                <w:b/>
                <w:sz w:val="17"/>
                <w:szCs w:val="17"/>
              </w:rPr>
            </w:pPr>
            <w:r w:rsidRPr="002E46D5">
              <w:rPr>
                <w:rFonts w:ascii="Arial" w:hAnsi="Arial" w:cs="Arial"/>
                <w:b/>
                <w:sz w:val="17"/>
                <w:szCs w:val="17"/>
              </w:rPr>
              <w:t>42,065,250</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2E46D5" w:rsidP="002E46D5">
            <w:pPr>
              <w:jc w:val="right"/>
              <w:rPr>
                <w:rFonts w:ascii="Arial" w:hAnsi="Arial" w:cs="Arial"/>
                <w:b/>
                <w:sz w:val="17"/>
                <w:szCs w:val="17"/>
              </w:rPr>
            </w:pPr>
            <w:r w:rsidRPr="00307CCF">
              <w:rPr>
                <w:rFonts w:ascii="Arial" w:hAnsi="Arial" w:cs="Arial"/>
                <w:b/>
                <w:sz w:val="17"/>
                <w:szCs w:val="17"/>
              </w:rPr>
              <w:t>26,155,434</w:t>
            </w:r>
          </w:p>
        </w:tc>
      </w:tr>
      <w:tr w:rsidR="002E46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E46D5" w:rsidRPr="006C5E04" w:rsidRDefault="002E46D5" w:rsidP="002E46D5">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2E46D5" w:rsidRPr="002E46D5" w:rsidRDefault="002E46D5" w:rsidP="002E46D5">
            <w:pPr>
              <w:jc w:val="right"/>
              <w:rPr>
                <w:rFonts w:ascii="Arial" w:hAnsi="Arial" w:cs="Arial"/>
                <w:b/>
                <w:sz w:val="17"/>
                <w:szCs w:val="17"/>
              </w:rPr>
            </w:pPr>
            <w:r w:rsidRPr="002E46D5">
              <w:rPr>
                <w:rFonts w:ascii="Arial" w:hAnsi="Arial" w:cs="Arial"/>
                <w:b/>
                <w:sz w:val="17"/>
                <w:szCs w:val="17"/>
              </w:rPr>
              <w:t>513,922</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2E46D5" w:rsidP="002E46D5">
            <w:pPr>
              <w:jc w:val="right"/>
              <w:rPr>
                <w:rFonts w:ascii="Arial" w:hAnsi="Arial" w:cs="Arial"/>
                <w:b/>
                <w:sz w:val="17"/>
                <w:szCs w:val="17"/>
              </w:rPr>
            </w:pPr>
            <w:r w:rsidRPr="00307CCF">
              <w:rPr>
                <w:rFonts w:ascii="Arial" w:hAnsi="Arial" w:cs="Arial"/>
                <w:b/>
                <w:sz w:val="17"/>
                <w:szCs w:val="17"/>
              </w:rPr>
              <w:t>372,992</w:t>
            </w:r>
          </w:p>
        </w:tc>
      </w:tr>
      <w:tr w:rsidR="002E46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E46D5" w:rsidRPr="006C5E04" w:rsidRDefault="002E46D5" w:rsidP="002E46D5">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1D5F80" w:rsidP="002E46D5">
            <w:pPr>
              <w:jc w:val="right"/>
              <w:rPr>
                <w:rFonts w:ascii="Arial" w:hAnsi="Arial" w:cs="Arial"/>
                <w:b/>
                <w:sz w:val="17"/>
                <w:szCs w:val="17"/>
              </w:rPr>
            </w:pPr>
            <w:r>
              <w:rPr>
                <w:rFonts w:ascii="Arial" w:hAnsi="Arial" w:cs="Arial"/>
                <w:b/>
                <w:sz w:val="17"/>
                <w:szCs w:val="17"/>
              </w:rPr>
              <w:t>18,386,417</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2E46D5" w:rsidP="002E46D5">
            <w:pPr>
              <w:jc w:val="right"/>
              <w:rPr>
                <w:rFonts w:ascii="Arial" w:hAnsi="Arial" w:cs="Arial"/>
                <w:b/>
                <w:sz w:val="17"/>
                <w:szCs w:val="17"/>
              </w:rPr>
            </w:pPr>
            <w:r w:rsidRPr="00307CCF">
              <w:rPr>
                <w:rFonts w:ascii="Arial" w:hAnsi="Arial" w:cs="Arial"/>
                <w:b/>
                <w:sz w:val="17"/>
                <w:szCs w:val="17"/>
              </w:rPr>
              <w:t>378,332</w:t>
            </w:r>
          </w:p>
        </w:tc>
      </w:tr>
      <w:tr w:rsidR="002E46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E46D5" w:rsidRPr="009D4479" w:rsidRDefault="002E46D5" w:rsidP="002E46D5">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1D5F80" w:rsidP="002E46D5">
            <w:pPr>
              <w:jc w:val="right"/>
              <w:rPr>
                <w:rFonts w:ascii="Arial" w:hAnsi="Arial" w:cs="Arial"/>
                <w:sz w:val="17"/>
                <w:szCs w:val="17"/>
              </w:rPr>
            </w:pPr>
            <w:r w:rsidRPr="001D5F80">
              <w:rPr>
                <w:rFonts w:ascii="Arial" w:hAnsi="Arial" w:cs="Arial"/>
                <w:sz w:val="17"/>
                <w:szCs w:val="17"/>
              </w:rPr>
              <w:t>20,000</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2E46D5" w:rsidP="002E46D5">
            <w:pPr>
              <w:jc w:val="right"/>
              <w:rPr>
                <w:rFonts w:ascii="Arial" w:hAnsi="Arial" w:cs="Arial"/>
                <w:sz w:val="17"/>
                <w:szCs w:val="17"/>
              </w:rPr>
            </w:pPr>
            <w:r w:rsidRPr="00307CCF">
              <w:rPr>
                <w:rFonts w:ascii="Arial" w:hAnsi="Arial" w:cs="Arial"/>
                <w:sz w:val="17"/>
                <w:szCs w:val="17"/>
              </w:rPr>
              <w:t>0</w:t>
            </w:r>
          </w:p>
        </w:tc>
      </w:tr>
      <w:tr w:rsidR="002E46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E46D5" w:rsidRPr="009D4479" w:rsidRDefault="002E46D5" w:rsidP="002E46D5">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1D5F80" w:rsidP="002E46D5">
            <w:pPr>
              <w:jc w:val="right"/>
              <w:rPr>
                <w:rFonts w:ascii="Arial" w:hAnsi="Arial" w:cs="Arial"/>
                <w:sz w:val="17"/>
                <w:szCs w:val="17"/>
              </w:rPr>
            </w:pPr>
            <w:r w:rsidRPr="001D5F80">
              <w:rPr>
                <w:rFonts w:ascii="Arial" w:hAnsi="Arial" w:cs="Arial"/>
                <w:sz w:val="17"/>
                <w:szCs w:val="17"/>
              </w:rPr>
              <w:t>174,110</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2E46D5" w:rsidP="002E46D5">
            <w:pPr>
              <w:jc w:val="right"/>
              <w:rPr>
                <w:rFonts w:ascii="Arial" w:hAnsi="Arial" w:cs="Arial"/>
                <w:sz w:val="17"/>
                <w:szCs w:val="17"/>
              </w:rPr>
            </w:pPr>
            <w:r w:rsidRPr="00307CCF">
              <w:rPr>
                <w:rFonts w:ascii="Arial" w:hAnsi="Arial" w:cs="Arial"/>
                <w:sz w:val="17"/>
                <w:szCs w:val="17"/>
              </w:rPr>
              <w:t>229</w:t>
            </w:r>
          </w:p>
        </w:tc>
      </w:tr>
      <w:tr w:rsidR="002E46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E46D5" w:rsidRPr="009D4479" w:rsidRDefault="002E46D5" w:rsidP="002E46D5">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1D5F80" w:rsidP="002E46D5">
            <w:pPr>
              <w:jc w:val="right"/>
              <w:rPr>
                <w:rFonts w:ascii="Arial" w:hAnsi="Arial" w:cs="Arial"/>
                <w:sz w:val="17"/>
                <w:szCs w:val="17"/>
              </w:rPr>
            </w:pPr>
            <w:r w:rsidRPr="001D5F80">
              <w:rPr>
                <w:rFonts w:ascii="Arial" w:hAnsi="Arial" w:cs="Arial"/>
                <w:sz w:val="17"/>
                <w:szCs w:val="17"/>
              </w:rPr>
              <w:t>290,000</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2E46D5" w:rsidP="002E46D5">
            <w:pPr>
              <w:jc w:val="right"/>
              <w:rPr>
                <w:rFonts w:ascii="Arial" w:hAnsi="Arial" w:cs="Arial"/>
                <w:sz w:val="17"/>
                <w:szCs w:val="17"/>
              </w:rPr>
            </w:pPr>
            <w:r w:rsidRPr="00307CCF">
              <w:rPr>
                <w:rFonts w:ascii="Arial" w:hAnsi="Arial" w:cs="Arial"/>
                <w:sz w:val="17"/>
                <w:szCs w:val="17"/>
              </w:rPr>
              <w:t>52,500</w:t>
            </w:r>
          </w:p>
        </w:tc>
      </w:tr>
      <w:tr w:rsidR="002E46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E46D5" w:rsidRPr="009D4479" w:rsidRDefault="002E46D5" w:rsidP="002E46D5">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1D5F80" w:rsidP="002E46D5">
            <w:pPr>
              <w:jc w:val="right"/>
              <w:rPr>
                <w:rFonts w:ascii="Arial" w:hAnsi="Arial" w:cs="Arial"/>
                <w:sz w:val="17"/>
                <w:szCs w:val="17"/>
              </w:rPr>
            </w:pPr>
            <w:r w:rsidRPr="001D5F80">
              <w:rPr>
                <w:rFonts w:ascii="Arial" w:hAnsi="Arial" w:cs="Arial"/>
                <w:sz w:val="17"/>
                <w:szCs w:val="17"/>
              </w:rPr>
              <w:t>16,791,082</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2E46D5" w:rsidP="002E46D5">
            <w:pPr>
              <w:jc w:val="right"/>
              <w:rPr>
                <w:rFonts w:ascii="Arial" w:hAnsi="Arial" w:cs="Arial"/>
                <w:sz w:val="17"/>
                <w:szCs w:val="17"/>
              </w:rPr>
            </w:pPr>
            <w:r w:rsidRPr="00307CCF">
              <w:rPr>
                <w:rFonts w:ascii="Arial" w:hAnsi="Arial" w:cs="Arial"/>
                <w:sz w:val="17"/>
                <w:szCs w:val="17"/>
              </w:rPr>
              <w:t>325,603</w:t>
            </w:r>
          </w:p>
        </w:tc>
      </w:tr>
      <w:tr w:rsidR="002E46D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E46D5" w:rsidRPr="006C5E04" w:rsidRDefault="002E46D5" w:rsidP="002E46D5">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1D5F80" w:rsidP="002E46D5">
            <w:pPr>
              <w:jc w:val="right"/>
              <w:rPr>
                <w:rFonts w:ascii="Arial" w:hAnsi="Arial" w:cs="Arial"/>
                <w:sz w:val="17"/>
                <w:szCs w:val="17"/>
              </w:rPr>
            </w:pPr>
            <w:r w:rsidRPr="001D5F80">
              <w:rPr>
                <w:rFonts w:ascii="Arial" w:hAnsi="Arial" w:cs="Arial"/>
                <w:sz w:val="17"/>
                <w:szCs w:val="17"/>
              </w:rPr>
              <w:t>1,044,779</w:t>
            </w:r>
          </w:p>
        </w:tc>
        <w:tc>
          <w:tcPr>
            <w:tcW w:w="2180" w:type="dxa"/>
            <w:tcBorders>
              <w:top w:val="single" w:sz="4" w:space="0" w:color="auto"/>
              <w:left w:val="nil"/>
              <w:bottom w:val="single" w:sz="4" w:space="0" w:color="auto"/>
              <w:right w:val="single" w:sz="4" w:space="0" w:color="auto"/>
            </w:tcBorders>
            <w:shd w:val="clear" w:color="auto" w:fill="auto"/>
          </w:tcPr>
          <w:p w:rsidR="002E46D5" w:rsidRPr="00307CCF" w:rsidRDefault="002E46D5" w:rsidP="002E46D5">
            <w:pPr>
              <w:jc w:val="right"/>
              <w:rPr>
                <w:rFonts w:ascii="Arial" w:hAnsi="Arial" w:cs="Arial"/>
                <w:sz w:val="17"/>
                <w:szCs w:val="17"/>
              </w:rPr>
            </w:pPr>
            <w:r>
              <w:rPr>
                <w:rFonts w:ascii="Arial" w:hAnsi="Arial" w:cs="Arial"/>
                <w:sz w:val="17"/>
                <w:szCs w:val="17"/>
              </w:rPr>
              <w:t>0</w:t>
            </w:r>
          </w:p>
        </w:tc>
      </w:tr>
      <w:tr w:rsidR="001D5F80"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D5F80" w:rsidRPr="006C5E04" w:rsidRDefault="001D5F80" w:rsidP="002E46D5">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D5F80" w:rsidRPr="001D5F80" w:rsidRDefault="001D5F80" w:rsidP="002E46D5">
            <w:pPr>
              <w:jc w:val="right"/>
              <w:rPr>
                <w:rFonts w:ascii="Arial" w:hAnsi="Arial" w:cs="Arial"/>
                <w:sz w:val="17"/>
                <w:szCs w:val="17"/>
              </w:rPr>
            </w:pPr>
            <w:r w:rsidRPr="001D5F80">
              <w:rPr>
                <w:rFonts w:ascii="Arial" w:hAnsi="Arial" w:cs="Arial"/>
                <w:sz w:val="17"/>
                <w:szCs w:val="17"/>
              </w:rPr>
              <w:t>198</w:t>
            </w:r>
          </w:p>
        </w:tc>
        <w:tc>
          <w:tcPr>
            <w:tcW w:w="2180" w:type="dxa"/>
            <w:tcBorders>
              <w:top w:val="single" w:sz="4" w:space="0" w:color="auto"/>
              <w:left w:val="nil"/>
              <w:bottom w:val="single" w:sz="4" w:space="0" w:color="auto"/>
              <w:right w:val="single" w:sz="4" w:space="0" w:color="auto"/>
            </w:tcBorders>
            <w:shd w:val="clear" w:color="auto" w:fill="auto"/>
          </w:tcPr>
          <w:p w:rsidR="001D5F80" w:rsidRDefault="001D5F80" w:rsidP="002E46D5">
            <w:pPr>
              <w:jc w:val="right"/>
              <w:rPr>
                <w:rFonts w:ascii="Arial" w:hAnsi="Arial" w:cs="Arial"/>
                <w:sz w:val="17"/>
                <w:szCs w:val="17"/>
              </w:rPr>
            </w:pPr>
            <w:r>
              <w:rPr>
                <w:rFonts w:ascii="Arial" w:hAnsi="Arial" w:cs="Arial"/>
                <w:sz w:val="17"/>
                <w:szCs w:val="17"/>
              </w:rPr>
              <w:t>0</w:t>
            </w:r>
          </w:p>
        </w:tc>
      </w:tr>
      <w:tr w:rsidR="001D5F80"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D5F80" w:rsidRPr="006C5E04" w:rsidRDefault="001D5F80" w:rsidP="002E46D5">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D5F80" w:rsidRPr="001D5F80" w:rsidRDefault="001D5F80" w:rsidP="002E46D5">
            <w:pPr>
              <w:jc w:val="right"/>
              <w:rPr>
                <w:rFonts w:ascii="Arial" w:hAnsi="Arial" w:cs="Arial"/>
                <w:sz w:val="17"/>
                <w:szCs w:val="17"/>
              </w:rPr>
            </w:pPr>
            <w:r w:rsidRPr="001D5F80">
              <w:rPr>
                <w:rFonts w:ascii="Arial" w:hAnsi="Arial" w:cs="Arial"/>
                <w:sz w:val="17"/>
                <w:szCs w:val="17"/>
              </w:rPr>
              <w:t>66,248</w:t>
            </w:r>
          </w:p>
        </w:tc>
        <w:tc>
          <w:tcPr>
            <w:tcW w:w="2180" w:type="dxa"/>
            <w:tcBorders>
              <w:top w:val="single" w:sz="4" w:space="0" w:color="auto"/>
              <w:left w:val="nil"/>
              <w:bottom w:val="single" w:sz="4" w:space="0" w:color="auto"/>
              <w:right w:val="single" w:sz="4" w:space="0" w:color="auto"/>
            </w:tcBorders>
            <w:shd w:val="clear" w:color="auto" w:fill="auto"/>
          </w:tcPr>
          <w:p w:rsidR="001D5F80" w:rsidRDefault="001D5F80" w:rsidP="002E46D5">
            <w:pPr>
              <w:jc w:val="right"/>
              <w:rPr>
                <w:rFonts w:ascii="Arial" w:hAnsi="Arial" w:cs="Arial"/>
                <w:sz w:val="17"/>
                <w:szCs w:val="17"/>
              </w:rPr>
            </w:pPr>
            <w:r>
              <w:rPr>
                <w:rFonts w:ascii="Arial" w:hAnsi="Arial" w:cs="Arial"/>
                <w:sz w:val="17"/>
                <w:szCs w:val="17"/>
              </w:rPr>
              <w:t>0</w:t>
            </w:r>
          </w:p>
        </w:tc>
      </w:tr>
      <w:tr w:rsidR="002E46D5"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2E46D5" w:rsidRPr="002D70DA" w:rsidRDefault="002E46D5" w:rsidP="002E46D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2E46D5" w:rsidRPr="005B5FB9" w:rsidRDefault="001D5F80" w:rsidP="002E46D5">
            <w:pPr>
              <w:jc w:val="right"/>
              <w:rPr>
                <w:rFonts w:ascii="Arial" w:hAnsi="Arial" w:cs="Arial"/>
                <w:b/>
                <w:bCs/>
                <w:color w:val="000000"/>
                <w:sz w:val="17"/>
                <w:szCs w:val="17"/>
                <w14:numForm w14:val="lining"/>
              </w:rPr>
            </w:pPr>
            <w:r w:rsidRPr="001D5F80">
              <w:rPr>
                <w:rFonts w:ascii="Arial" w:hAnsi="Arial" w:cs="Arial"/>
                <w:b/>
                <w:bCs/>
                <w:color w:val="000000"/>
                <w:sz w:val="17"/>
                <w:szCs w:val="17"/>
                <w14:numForm w14:val="lining"/>
              </w:rPr>
              <w:t>5,811,758,657</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E46D5" w:rsidRPr="005B5FB9" w:rsidRDefault="002E46D5" w:rsidP="002E46D5">
            <w:pPr>
              <w:jc w:val="right"/>
              <w:rPr>
                <w:rFonts w:ascii="Arial" w:hAnsi="Arial" w:cs="Arial"/>
                <w:b/>
                <w:bCs/>
                <w:color w:val="000000"/>
                <w:sz w:val="17"/>
                <w:szCs w:val="17"/>
                <w14:numForm w14:val="lining"/>
              </w:rPr>
            </w:pPr>
            <w:r w:rsidRPr="00307CCF">
              <w:rPr>
                <w:rFonts w:ascii="Arial" w:hAnsi="Arial" w:cs="Arial"/>
                <w:b/>
                <w:bCs/>
                <w:color w:val="000000"/>
                <w:sz w:val="17"/>
                <w:szCs w:val="17"/>
                <w14:numForm w14:val="lining"/>
              </w:rPr>
              <w:t>4,995,129,778</w:t>
            </w:r>
          </w:p>
        </w:tc>
      </w:tr>
    </w:tbl>
    <w:p w:rsidR="00752A6C" w:rsidRDefault="00752A6C" w:rsidP="00752A6C">
      <w:pPr>
        <w:rPr>
          <w:rFonts w:ascii="Arial" w:eastAsia="Calibri" w:hAnsi="Arial" w:cs="Arial"/>
          <w:b/>
          <w:spacing w:val="-1"/>
          <w:sz w:val="17"/>
          <w:szCs w:val="17"/>
        </w:rPr>
      </w:pPr>
    </w:p>
    <w:p w:rsidR="009915A4" w:rsidRDefault="009915A4" w:rsidP="00EA7721">
      <w:pPr>
        <w:spacing w:before="80" w:line="250" w:lineRule="exact"/>
        <w:ind w:left="709"/>
        <w:jc w:val="both"/>
        <w:rPr>
          <w:rFonts w:ascii="Arial" w:eastAsia="Calibri" w:hAnsi="Arial" w:cs="Arial"/>
          <w:spacing w:val="-1"/>
          <w:sz w:val="17"/>
          <w:szCs w:val="17"/>
        </w:rPr>
      </w:pPr>
    </w:p>
    <w:p w:rsidR="00EA7721" w:rsidRPr="002D70DA" w:rsidRDefault="00EA7721" w:rsidP="00EA7721">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los rubros de </w:t>
      </w:r>
      <w:r w:rsidR="001A6B95">
        <w:rPr>
          <w:rFonts w:ascii="Arial" w:eastAsia="Calibri" w:hAnsi="Arial" w:cs="Arial"/>
          <w:spacing w:val="-1"/>
          <w:sz w:val="17"/>
          <w:szCs w:val="17"/>
        </w:rPr>
        <w:t>Participaciones</w:t>
      </w:r>
      <w:r w:rsidR="009915A4">
        <w:rPr>
          <w:rFonts w:ascii="Arial" w:eastAsia="Calibri" w:hAnsi="Arial" w:cs="Arial"/>
          <w:spacing w:val="-1"/>
          <w:sz w:val="17"/>
          <w:szCs w:val="17"/>
        </w:rPr>
        <w:t>,</w:t>
      </w:r>
      <w:r>
        <w:rPr>
          <w:rFonts w:ascii="Arial" w:eastAsia="Calibri" w:hAnsi="Arial" w:cs="Arial"/>
          <w:spacing w:val="-1"/>
          <w:sz w:val="17"/>
          <w:szCs w:val="17"/>
        </w:rPr>
        <w:t xml:space="preserve"> Aportaciones</w:t>
      </w:r>
      <w:r w:rsidR="009915A4">
        <w:rPr>
          <w:rFonts w:ascii="Arial" w:eastAsia="Calibri" w:hAnsi="Arial" w:cs="Arial"/>
          <w:spacing w:val="-1"/>
          <w:sz w:val="17"/>
          <w:szCs w:val="17"/>
        </w:rPr>
        <w:t>, Transferencias, Asignaciones, Subsidios y Otras Ayudas</w:t>
      </w:r>
      <w:r w:rsidR="001A6B95">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los montos totales </w:t>
      </w:r>
      <w:r>
        <w:rPr>
          <w:rFonts w:ascii="Arial" w:eastAsia="Calibri" w:hAnsi="Arial" w:cs="Arial"/>
          <w:spacing w:val="-1"/>
          <w:sz w:val="17"/>
          <w:szCs w:val="17"/>
        </w:rPr>
        <w:t xml:space="preserve">al 31 de diciembre del </w:t>
      </w:r>
      <w:r w:rsidR="00582811">
        <w:rPr>
          <w:rFonts w:ascii="Arial" w:eastAsia="Calibri" w:hAnsi="Arial" w:cs="Arial"/>
          <w:spacing w:val="-1"/>
          <w:sz w:val="17"/>
          <w:szCs w:val="17"/>
        </w:rPr>
        <w:t>2017</w:t>
      </w:r>
      <w:r w:rsidRPr="002D70DA">
        <w:rPr>
          <w:rFonts w:ascii="Arial" w:eastAsia="Calibri" w:hAnsi="Arial" w:cs="Arial"/>
          <w:spacing w:val="-1"/>
          <w:sz w:val="17"/>
          <w:szCs w:val="17"/>
        </w:rPr>
        <w:t>:</w:t>
      </w:r>
    </w:p>
    <w:p w:rsidR="00EA7721" w:rsidRPr="002D70DA" w:rsidRDefault="00EA7721" w:rsidP="00EA7721">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A7721" w:rsidRPr="002D70DA" w:rsidTr="002165BD">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A7721" w:rsidRPr="002D70DA" w:rsidRDefault="00EA7721" w:rsidP="002165BD">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A7721"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A7721"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9915A4" w:rsidRPr="001A6B95" w:rsidTr="009915A4">
        <w:trPr>
          <w:trHeight w:val="89"/>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15A4" w:rsidRPr="009915A4" w:rsidRDefault="009915A4" w:rsidP="009915A4">
            <w:pPr>
              <w:rPr>
                <w:rFonts w:ascii="Arial" w:hAnsi="Arial" w:cs="Arial"/>
                <w:sz w:val="17"/>
                <w:szCs w:val="17"/>
              </w:rPr>
            </w:pPr>
            <w:r w:rsidRPr="009915A4">
              <w:rPr>
                <w:rFonts w:ascii="Arial" w:hAnsi="Arial" w:cs="Arial"/>
                <w:sz w:val="17"/>
                <w:szCs w:val="17"/>
              </w:rPr>
              <w:t>Participaciones y Aportaciones</w:t>
            </w:r>
          </w:p>
        </w:tc>
        <w:tc>
          <w:tcPr>
            <w:tcW w:w="2180" w:type="dxa"/>
            <w:tcBorders>
              <w:top w:val="single" w:sz="4" w:space="0" w:color="auto"/>
              <w:left w:val="nil"/>
              <w:bottom w:val="single" w:sz="4" w:space="0" w:color="auto"/>
              <w:right w:val="single" w:sz="4" w:space="0" w:color="auto"/>
            </w:tcBorders>
            <w:shd w:val="clear" w:color="auto" w:fill="auto"/>
          </w:tcPr>
          <w:p w:rsidR="009915A4" w:rsidRPr="009915A4" w:rsidRDefault="009915A4" w:rsidP="009915A4">
            <w:pPr>
              <w:jc w:val="right"/>
              <w:rPr>
                <w:rFonts w:ascii="Arial" w:hAnsi="Arial" w:cs="Arial"/>
                <w:sz w:val="17"/>
                <w:szCs w:val="17"/>
              </w:rPr>
            </w:pPr>
            <w:r w:rsidRPr="009915A4">
              <w:rPr>
                <w:rFonts w:ascii="Arial" w:hAnsi="Arial" w:cs="Arial"/>
                <w:sz w:val="17"/>
                <w:szCs w:val="17"/>
              </w:rPr>
              <w:t>24,178,218,114</w:t>
            </w:r>
          </w:p>
        </w:tc>
        <w:tc>
          <w:tcPr>
            <w:tcW w:w="2180" w:type="dxa"/>
            <w:tcBorders>
              <w:top w:val="single" w:sz="4" w:space="0" w:color="auto"/>
              <w:left w:val="nil"/>
              <w:bottom w:val="single" w:sz="4" w:space="0" w:color="auto"/>
              <w:right w:val="single" w:sz="4" w:space="0" w:color="auto"/>
            </w:tcBorders>
            <w:shd w:val="clear" w:color="auto" w:fill="auto"/>
          </w:tcPr>
          <w:p w:rsidR="009915A4" w:rsidRPr="009915A4" w:rsidRDefault="009915A4" w:rsidP="009915A4">
            <w:pPr>
              <w:jc w:val="right"/>
              <w:rPr>
                <w:rFonts w:ascii="Arial" w:hAnsi="Arial" w:cs="Arial"/>
                <w:sz w:val="17"/>
                <w:szCs w:val="17"/>
              </w:rPr>
            </w:pPr>
            <w:r w:rsidRPr="009915A4">
              <w:rPr>
                <w:rFonts w:ascii="Arial" w:hAnsi="Arial" w:cs="Arial"/>
                <w:sz w:val="17"/>
                <w:szCs w:val="17"/>
              </w:rPr>
              <w:t>22,635,043,506</w:t>
            </w:r>
          </w:p>
        </w:tc>
      </w:tr>
      <w:tr w:rsidR="009915A4" w:rsidRPr="001A6B95" w:rsidTr="0034013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915A4" w:rsidRPr="009915A4" w:rsidRDefault="009915A4" w:rsidP="009915A4">
            <w:pPr>
              <w:rPr>
                <w:rFonts w:ascii="Arial" w:hAnsi="Arial" w:cs="Arial"/>
                <w:sz w:val="17"/>
                <w:szCs w:val="17"/>
              </w:rPr>
            </w:pPr>
            <w:r w:rsidRPr="009915A4">
              <w:rPr>
                <w:rFonts w:ascii="Arial" w:hAnsi="Arial" w:cs="Arial"/>
                <w:sz w:val="17"/>
                <w:szCs w:val="17"/>
              </w:rPr>
              <w:t>Transferencia, Asignaciones, Subsidios y Otras Ayudas</w:t>
            </w:r>
          </w:p>
        </w:tc>
        <w:tc>
          <w:tcPr>
            <w:tcW w:w="2180" w:type="dxa"/>
            <w:tcBorders>
              <w:top w:val="nil"/>
              <w:left w:val="nil"/>
              <w:bottom w:val="single" w:sz="4" w:space="0" w:color="auto"/>
              <w:right w:val="single" w:sz="4" w:space="0" w:color="auto"/>
            </w:tcBorders>
            <w:shd w:val="clear" w:color="auto" w:fill="auto"/>
          </w:tcPr>
          <w:p w:rsidR="009915A4" w:rsidRPr="009915A4" w:rsidRDefault="009915A4" w:rsidP="009915A4">
            <w:pPr>
              <w:jc w:val="right"/>
              <w:rPr>
                <w:rFonts w:ascii="Arial" w:hAnsi="Arial" w:cs="Arial"/>
                <w:sz w:val="17"/>
                <w:szCs w:val="17"/>
              </w:rPr>
            </w:pPr>
            <w:r w:rsidRPr="009915A4">
              <w:rPr>
                <w:rFonts w:ascii="Arial" w:hAnsi="Arial" w:cs="Arial"/>
                <w:sz w:val="17"/>
                <w:szCs w:val="17"/>
              </w:rPr>
              <w:t>5,168,723,696</w:t>
            </w:r>
          </w:p>
        </w:tc>
        <w:tc>
          <w:tcPr>
            <w:tcW w:w="2180" w:type="dxa"/>
            <w:tcBorders>
              <w:top w:val="nil"/>
              <w:left w:val="nil"/>
              <w:bottom w:val="single" w:sz="4" w:space="0" w:color="auto"/>
              <w:right w:val="single" w:sz="4" w:space="0" w:color="auto"/>
            </w:tcBorders>
            <w:shd w:val="clear" w:color="auto" w:fill="auto"/>
          </w:tcPr>
          <w:p w:rsidR="009915A4" w:rsidRPr="009915A4" w:rsidRDefault="009915A4" w:rsidP="009915A4">
            <w:pPr>
              <w:jc w:val="right"/>
              <w:rPr>
                <w:rFonts w:ascii="Arial" w:hAnsi="Arial" w:cs="Arial"/>
                <w:sz w:val="17"/>
                <w:szCs w:val="17"/>
              </w:rPr>
            </w:pPr>
            <w:r w:rsidRPr="009915A4">
              <w:rPr>
                <w:rFonts w:ascii="Arial" w:hAnsi="Arial" w:cs="Arial"/>
                <w:sz w:val="17"/>
                <w:szCs w:val="17"/>
              </w:rPr>
              <w:t>6,473,568,613</w:t>
            </w:r>
          </w:p>
        </w:tc>
      </w:tr>
      <w:tr w:rsidR="009915A4" w:rsidRPr="002D70DA" w:rsidTr="009915A4">
        <w:trPr>
          <w:trHeight w:val="240"/>
          <w:jc w:val="center"/>
        </w:trPr>
        <w:tc>
          <w:tcPr>
            <w:tcW w:w="4900" w:type="dxa"/>
            <w:tcBorders>
              <w:top w:val="nil"/>
              <w:left w:val="nil"/>
              <w:bottom w:val="nil"/>
              <w:right w:val="nil"/>
            </w:tcBorders>
            <w:shd w:val="clear" w:color="000000" w:fill="FFFFFF"/>
            <w:vAlign w:val="center"/>
            <w:hideMark/>
          </w:tcPr>
          <w:p w:rsidR="009915A4" w:rsidRPr="002D70DA" w:rsidRDefault="009915A4" w:rsidP="009915A4">
            <w:pPr>
              <w:jc w:val="center"/>
              <w:rPr>
                <w:rFonts w:ascii="Arial" w:hAnsi="Arial" w:cs="Arial"/>
                <w:b/>
                <w:bCs/>
                <w:color w:val="000000"/>
                <w:sz w:val="17"/>
                <w:szCs w:val="17"/>
              </w:rPr>
            </w:pPr>
            <w:r>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5A4" w:rsidRPr="002D70DA" w:rsidRDefault="009915A4" w:rsidP="009915A4">
            <w:pPr>
              <w:jc w:val="right"/>
              <w:rPr>
                <w:rFonts w:ascii="Arial" w:hAnsi="Arial" w:cs="Arial"/>
                <w:b/>
                <w:bCs/>
                <w:color w:val="000000"/>
                <w:sz w:val="17"/>
                <w:szCs w:val="17"/>
              </w:rPr>
            </w:pPr>
            <w:r w:rsidRPr="009915A4">
              <w:rPr>
                <w:rFonts w:ascii="Arial" w:hAnsi="Arial" w:cs="Arial"/>
                <w:b/>
                <w:bCs/>
                <w:color w:val="000000"/>
                <w:sz w:val="17"/>
                <w:szCs w:val="17"/>
                <w14:numForm w14:val="lining"/>
              </w:rPr>
              <w:t>29,346,941,810</w:t>
            </w:r>
          </w:p>
        </w:tc>
        <w:tc>
          <w:tcPr>
            <w:tcW w:w="2180" w:type="dxa"/>
            <w:tcBorders>
              <w:top w:val="single" w:sz="4" w:space="0" w:color="auto"/>
              <w:left w:val="nil"/>
              <w:bottom w:val="single" w:sz="4" w:space="0" w:color="auto"/>
              <w:right w:val="single" w:sz="4" w:space="0" w:color="auto"/>
            </w:tcBorders>
            <w:shd w:val="clear" w:color="000000" w:fill="FFFFFF"/>
            <w:noWrap/>
            <w:vAlign w:val="center"/>
            <w:hideMark/>
          </w:tcPr>
          <w:p w:rsidR="009915A4" w:rsidRPr="009915A4" w:rsidRDefault="009915A4" w:rsidP="009915A4">
            <w:pPr>
              <w:jc w:val="right"/>
              <w:rPr>
                <w:rFonts w:ascii="Arial" w:hAnsi="Arial" w:cs="Arial"/>
                <w:b/>
                <w:sz w:val="17"/>
                <w:szCs w:val="17"/>
              </w:rPr>
            </w:pPr>
            <w:r w:rsidRPr="009915A4">
              <w:rPr>
                <w:rFonts w:ascii="Arial" w:hAnsi="Arial" w:cs="Arial"/>
                <w:b/>
                <w:sz w:val="17"/>
                <w:szCs w:val="17"/>
              </w:rPr>
              <w:t>29,108,612,119</w:t>
            </w:r>
          </w:p>
        </w:tc>
      </w:tr>
    </w:tbl>
    <w:p w:rsidR="000F2ADF" w:rsidRDefault="000F2ADF" w:rsidP="0033096D">
      <w:pPr>
        <w:autoSpaceDE w:val="0"/>
        <w:autoSpaceDN w:val="0"/>
        <w:adjustRightInd w:val="0"/>
        <w:spacing w:before="240" w:after="120"/>
        <w:ind w:left="709"/>
        <w:rPr>
          <w:rFonts w:ascii="Arial" w:eastAsia="Calibri" w:hAnsi="Arial" w:cs="Arial"/>
          <w:spacing w:val="-1"/>
          <w:sz w:val="17"/>
          <w:szCs w:val="17"/>
        </w:rPr>
      </w:pPr>
    </w:p>
    <w:p w:rsidR="0033096D" w:rsidRDefault="0033096D" w:rsidP="0033096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Las cuales están distribuido de la siguiente manera:</w:t>
      </w:r>
    </w:p>
    <w:p w:rsidR="0033096D" w:rsidRPr="002D70DA" w:rsidRDefault="0033096D" w:rsidP="0033096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3096D"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96D" w:rsidRPr="002D70DA" w:rsidRDefault="0033096D"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3096D"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3096D"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381DF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81DF8" w:rsidRPr="006C5E04" w:rsidRDefault="00381DF8" w:rsidP="00381DF8">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381DF8" w:rsidRPr="00381DF8" w:rsidRDefault="00874ABE" w:rsidP="00381DF8">
            <w:pPr>
              <w:jc w:val="right"/>
              <w:rPr>
                <w:rFonts w:ascii="Arial" w:hAnsi="Arial" w:cs="Arial"/>
                <w:sz w:val="17"/>
                <w:szCs w:val="17"/>
              </w:rPr>
            </w:pPr>
            <w:r w:rsidRPr="00874ABE">
              <w:rPr>
                <w:rFonts w:ascii="Arial" w:hAnsi="Arial" w:cs="Arial"/>
                <w:sz w:val="17"/>
                <w:szCs w:val="17"/>
              </w:rPr>
              <w:t>29,336,194,575</w:t>
            </w:r>
          </w:p>
        </w:tc>
        <w:tc>
          <w:tcPr>
            <w:tcW w:w="2180" w:type="dxa"/>
            <w:tcBorders>
              <w:top w:val="single" w:sz="4" w:space="0" w:color="auto"/>
              <w:left w:val="nil"/>
              <w:bottom w:val="single" w:sz="4" w:space="0" w:color="auto"/>
              <w:right w:val="single" w:sz="4" w:space="0" w:color="auto"/>
            </w:tcBorders>
            <w:shd w:val="clear" w:color="auto" w:fill="auto"/>
          </w:tcPr>
          <w:p w:rsidR="00381DF8" w:rsidRPr="00381DF8" w:rsidRDefault="00874ABE" w:rsidP="00381DF8">
            <w:pPr>
              <w:jc w:val="right"/>
              <w:rPr>
                <w:rFonts w:ascii="Arial" w:hAnsi="Arial" w:cs="Arial"/>
                <w:sz w:val="17"/>
                <w:szCs w:val="17"/>
              </w:rPr>
            </w:pPr>
            <w:r w:rsidRPr="00874ABE">
              <w:rPr>
                <w:rFonts w:ascii="Arial" w:hAnsi="Arial" w:cs="Arial"/>
                <w:sz w:val="17"/>
                <w:szCs w:val="17"/>
              </w:rPr>
              <w:t>29,105,051,874</w:t>
            </w:r>
          </w:p>
        </w:tc>
      </w:tr>
      <w:tr w:rsidR="00874A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74ABE" w:rsidRPr="006C5E04" w:rsidRDefault="00874ABE" w:rsidP="00381DF8">
            <w:pPr>
              <w:rPr>
                <w:rFonts w:ascii="Arial" w:hAnsi="Arial" w:cs="Arial"/>
                <w:b/>
                <w:sz w:val="17"/>
                <w:szCs w:val="17"/>
              </w:rPr>
            </w:pPr>
            <w:r>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874ABE" w:rsidRPr="00381DF8" w:rsidRDefault="00874ABE" w:rsidP="00381DF8">
            <w:pPr>
              <w:jc w:val="right"/>
              <w:rPr>
                <w:rFonts w:ascii="Arial" w:hAnsi="Arial" w:cs="Arial"/>
                <w:sz w:val="17"/>
                <w:szCs w:val="17"/>
              </w:rPr>
            </w:pPr>
            <w:r>
              <w:rPr>
                <w:rFonts w:ascii="Arial" w:hAnsi="Arial" w:cs="Arial"/>
                <w:sz w:val="17"/>
                <w:szCs w:val="17"/>
              </w:rPr>
              <w:t>-</w:t>
            </w:r>
            <w:r w:rsidRPr="00874ABE">
              <w:rPr>
                <w:rFonts w:ascii="Arial" w:hAnsi="Arial" w:cs="Arial"/>
                <w:sz w:val="17"/>
                <w:szCs w:val="17"/>
              </w:rPr>
              <w:t>1,476</w:t>
            </w:r>
          </w:p>
        </w:tc>
        <w:tc>
          <w:tcPr>
            <w:tcW w:w="2180" w:type="dxa"/>
            <w:tcBorders>
              <w:top w:val="single" w:sz="4" w:space="0" w:color="auto"/>
              <w:left w:val="nil"/>
              <w:bottom w:val="single" w:sz="4" w:space="0" w:color="auto"/>
              <w:right w:val="single" w:sz="4" w:space="0" w:color="auto"/>
            </w:tcBorders>
            <w:shd w:val="clear" w:color="auto" w:fill="auto"/>
          </w:tcPr>
          <w:p w:rsidR="00874ABE" w:rsidRPr="00874ABE" w:rsidRDefault="00874ABE" w:rsidP="00381DF8">
            <w:pPr>
              <w:jc w:val="right"/>
              <w:rPr>
                <w:rFonts w:ascii="Arial" w:hAnsi="Arial" w:cs="Arial"/>
                <w:sz w:val="17"/>
                <w:szCs w:val="17"/>
              </w:rPr>
            </w:pPr>
            <w:r w:rsidRPr="00874ABE">
              <w:rPr>
                <w:rFonts w:ascii="Arial" w:hAnsi="Arial" w:cs="Arial"/>
                <w:sz w:val="17"/>
                <w:szCs w:val="17"/>
              </w:rPr>
              <w:t>32,722</w:t>
            </w:r>
          </w:p>
        </w:tc>
      </w:tr>
      <w:tr w:rsidR="00381DF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81DF8" w:rsidRPr="006C5E04" w:rsidRDefault="00381DF8" w:rsidP="00381DF8">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381DF8" w:rsidRPr="00874ABE" w:rsidRDefault="00874ABE" w:rsidP="00381DF8">
            <w:pPr>
              <w:jc w:val="right"/>
              <w:rPr>
                <w:rFonts w:ascii="Arial" w:hAnsi="Arial" w:cs="Arial"/>
                <w:b/>
                <w:sz w:val="17"/>
                <w:szCs w:val="17"/>
              </w:rPr>
            </w:pPr>
            <w:r>
              <w:rPr>
                <w:rFonts w:ascii="Arial" w:hAnsi="Arial" w:cs="Arial"/>
                <w:b/>
                <w:sz w:val="17"/>
                <w:szCs w:val="17"/>
              </w:rPr>
              <w:t>10,748,711</w:t>
            </w:r>
          </w:p>
        </w:tc>
        <w:tc>
          <w:tcPr>
            <w:tcW w:w="2180" w:type="dxa"/>
            <w:tcBorders>
              <w:top w:val="single" w:sz="4" w:space="0" w:color="auto"/>
              <w:left w:val="nil"/>
              <w:bottom w:val="single" w:sz="4" w:space="0" w:color="auto"/>
              <w:right w:val="single" w:sz="4" w:space="0" w:color="auto"/>
            </w:tcBorders>
            <w:shd w:val="clear" w:color="auto" w:fill="auto"/>
          </w:tcPr>
          <w:p w:rsidR="00381DF8" w:rsidRPr="00874ABE" w:rsidRDefault="00874ABE" w:rsidP="00381DF8">
            <w:pPr>
              <w:jc w:val="right"/>
              <w:rPr>
                <w:rFonts w:ascii="Arial" w:hAnsi="Arial" w:cs="Arial"/>
                <w:b/>
                <w:sz w:val="17"/>
                <w:szCs w:val="17"/>
              </w:rPr>
            </w:pPr>
            <w:r w:rsidRPr="00874ABE">
              <w:rPr>
                <w:rFonts w:ascii="Arial" w:hAnsi="Arial" w:cs="Arial"/>
                <w:b/>
                <w:sz w:val="17"/>
                <w:szCs w:val="17"/>
              </w:rPr>
              <w:t>3,527,523</w:t>
            </w:r>
            <w:r w:rsidR="00381DF8" w:rsidRPr="00874ABE">
              <w:rPr>
                <w:rFonts w:ascii="Arial" w:hAnsi="Arial" w:cs="Arial"/>
                <w:b/>
                <w:sz w:val="17"/>
                <w:szCs w:val="17"/>
              </w:rPr>
              <w:t xml:space="preserve"> </w:t>
            </w:r>
          </w:p>
        </w:tc>
      </w:tr>
      <w:tr w:rsidR="00874ABE" w:rsidRPr="002D70DA" w:rsidTr="00EC22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74ABE" w:rsidRPr="009D4479" w:rsidRDefault="00874ABE" w:rsidP="00EC22A4">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74ABE" w:rsidRPr="007055D5" w:rsidRDefault="00874ABE" w:rsidP="00EC22A4">
            <w:pPr>
              <w:jc w:val="right"/>
              <w:rPr>
                <w:rFonts w:ascii="Arial" w:hAnsi="Arial" w:cs="Arial"/>
                <w:sz w:val="17"/>
                <w:szCs w:val="17"/>
              </w:rPr>
            </w:pPr>
            <w:r w:rsidRPr="00874ABE">
              <w:rPr>
                <w:rFonts w:ascii="Arial" w:hAnsi="Arial" w:cs="Arial"/>
                <w:sz w:val="17"/>
                <w:szCs w:val="17"/>
              </w:rPr>
              <w:t>342,136</w:t>
            </w:r>
          </w:p>
        </w:tc>
        <w:tc>
          <w:tcPr>
            <w:tcW w:w="2180" w:type="dxa"/>
            <w:tcBorders>
              <w:top w:val="single" w:sz="4" w:space="0" w:color="auto"/>
              <w:left w:val="nil"/>
              <w:bottom w:val="single" w:sz="4" w:space="0" w:color="auto"/>
              <w:right w:val="single" w:sz="4" w:space="0" w:color="auto"/>
            </w:tcBorders>
            <w:shd w:val="clear" w:color="auto" w:fill="auto"/>
          </w:tcPr>
          <w:p w:rsidR="00874ABE" w:rsidRPr="007055D5" w:rsidRDefault="00874ABE" w:rsidP="00EC22A4">
            <w:pPr>
              <w:jc w:val="right"/>
              <w:rPr>
                <w:rFonts w:ascii="Arial" w:hAnsi="Arial" w:cs="Arial"/>
                <w:sz w:val="17"/>
                <w:szCs w:val="17"/>
              </w:rPr>
            </w:pPr>
            <w:r w:rsidRPr="00874ABE">
              <w:rPr>
                <w:rFonts w:ascii="Arial" w:hAnsi="Arial" w:cs="Arial"/>
                <w:sz w:val="17"/>
                <w:szCs w:val="17"/>
              </w:rPr>
              <w:t>737,885</w:t>
            </w:r>
          </w:p>
        </w:tc>
      </w:tr>
      <w:tr w:rsidR="00874ABE" w:rsidRPr="002D70DA" w:rsidTr="00EC22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74ABE" w:rsidRPr="009D4479" w:rsidRDefault="00874ABE" w:rsidP="00EC22A4">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74ABE" w:rsidRPr="001B59E3" w:rsidRDefault="00874ABE" w:rsidP="00EC22A4">
            <w:pPr>
              <w:jc w:val="right"/>
              <w:rPr>
                <w:rFonts w:ascii="Arial" w:hAnsi="Arial" w:cs="Arial"/>
                <w:sz w:val="17"/>
                <w:szCs w:val="17"/>
              </w:rPr>
            </w:pPr>
            <w:r w:rsidRPr="00874ABE">
              <w:rPr>
                <w:rFonts w:ascii="Arial" w:hAnsi="Arial" w:cs="Arial"/>
                <w:sz w:val="17"/>
                <w:szCs w:val="17"/>
              </w:rPr>
              <w:t>10,406,575</w:t>
            </w:r>
          </w:p>
        </w:tc>
        <w:tc>
          <w:tcPr>
            <w:tcW w:w="2180" w:type="dxa"/>
            <w:tcBorders>
              <w:top w:val="single" w:sz="4" w:space="0" w:color="auto"/>
              <w:left w:val="nil"/>
              <w:bottom w:val="single" w:sz="4" w:space="0" w:color="auto"/>
              <w:right w:val="single" w:sz="4" w:space="0" w:color="auto"/>
            </w:tcBorders>
            <w:shd w:val="clear" w:color="auto" w:fill="auto"/>
          </w:tcPr>
          <w:p w:rsidR="00874ABE" w:rsidRPr="001B59E3" w:rsidRDefault="00874ABE" w:rsidP="00EC22A4">
            <w:pPr>
              <w:jc w:val="right"/>
              <w:rPr>
                <w:rFonts w:ascii="Arial" w:hAnsi="Arial" w:cs="Arial"/>
                <w:sz w:val="17"/>
                <w:szCs w:val="17"/>
              </w:rPr>
            </w:pPr>
            <w:r w:rsidRPr="001B59E3">
              <w:rPr>
                <w:rFonts w:ascii="Arial" w:hAnsi="Arial" w:cs="Arial"/>
                <w:sz w:val="17"/>
                <w:szCs w:val="17"/>
              </w:rPr>
              <w:t>0</w:t>
            </w:r>
          </w:p>
        </w:tc>
      </w:tr>
      <w:tr w:rsidR="00874ABE" w:rsidRPr="002D70DA" w:rsidTr="00EC22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74ABE" w:rsidRPr="009D4479" w:rsidRDefault="00874ABE" w:rsidP="00EC22A4">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74ABE" w:rsidRPr="007055D5" w:rsidRDefault="00874ABE" w:rsidP="00EC22A4">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874ABE" w:rsidRPr="007055D5" w:rsidRDefault="00874ABE" w:rsidP="00EC22A4">
            <w:pPr>
              <w:jc w:val="right"/>
              <w:rPr>
                <w:rFonts w:ascii="Arial" w:hAnsi="Arial" w:cs="Arial"/>
                <w:sz w:val="17"/>
                <w:szCs w:val="17"/>
              </w:rPr>
            </w:pPr>
            <w:r w:rsidRPr="00874ABE">
              <w:rPr>
                <w:rFonts w:ascii="Arial" w:hAnsi="Arial" w:cs="Arial"/>
                <w:sz w:val="17"/>
                <w:szCs w:val="17"/>
              </w:rPr>
              <w:t>2,789,638</w:t>
            </w:r>
          </w:p>
        </w:tc>
      </w:tr>
      <w:tr w:rsidR="0033096D"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33096D" w:rsidRPr="002D70DA" w:rsidRDefault="0033096D"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33096D" w:rsidRPr="005B5FB9" w:rsidRDefault="00874ABE" w:rsidP="002165BD">
            <w:pPr>
              <w:jc w:val="right"/>
              <w:rPr>
                <w:rFonts w:ascii="Arial" w:hAnsi="Arial" w:cs="Arial"/>
                <w:b/>
                <w:bCs/>
                <w:color w:val="000000"/>
                <w:sz w:val="17"/>
                <w:szCs w:val="17"/>
                <w14:numForm w14:val="lining"/>
              </w:rPr>
            </w:pPr>
            <w:r w:rsidRPr="00874ABE">
              <w:rPr>
                <w:rFonts w:ascii="Arial" w:hAnsi="Arial" w:cs="Arial"/>
                <w:b/>
                <w:bCs/>
                <w:color w:val="000000"/>
                <w:sz w:val="17"/>
                <w:szCs w:val="17"/>
                <w14:numForm w14:val="lining"/>
              </w:rPr>
              <w:t>29,346,941,810</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3096D" w:rsidRPr="005B5FB9" w:rsidRDefault="00874ABE" w:rsidP="002165BD">
            <w:pPr>
              <w:jc w:val="right"/>
              <w:rPr>
                <w:rFonts w:ascii="Arial" w:hAnsi="Arial" w:cs="Arial"/>
                <w:b/>
                <w:bCs/>
                <w:color w:val="000000"/>
                <w:sz w:val="17"/>
                <w:szCs w:val="17"/>
                <w14:numForm w14:val="lining"/>
              </w:rPr>
            </w:pPr>
            <w:r w:rsidRPr="00874ABE">
              <w:rPr>
                <w:rFonts w:ascii="Arial" w:hAnsi="Arial" w:cs="Arial"/>
                <w:b/>
                <w:bCs/>
                <w:color w:val="000000"/>
                <w:sz w:val="17"/>
                <w:szCs w:val="17"/>
                <w14:numForm w14:val="lining"/>
              </w:rPr>
              <w:t>29,108,612,119</w:t>
            </w:r>
          </w:p>
        </w:tc>
      </w:tr>
    </w:tbl>
    <w:p w:rsidR="00CA0427" w:rsidRPr="00CA0427" w:rsidRDefault="00CA0427" w:rsidP="00CA0427">
      <w:pPr>
        <w:spacing w:before="80" w:line="250" w:lineRule="exact"/>
        <w:ind w:left="360"/>
        <w:jc w:val="both"/>
        <w:rPr>
          <w:rFonts w:ascii="Arial" w:eastAsia="Calibri" w:hAnsi="Arial" w:cs="Arial"/>
          <w:b/>
          <w:spacing w:val="-1"/>
          <w:sz w:val="17"/>
          <w:szCs w:val="17"/>
        </w:rPr>
      </w:pPr>
    </w:p>
    <w:p w:rsidR="009A5B1C" w:rsidRDefault="009A5B1C" w:rsidP="005502D4">
      <w:pPr>
        <w:spacing w:before="80" w:line="250" w:lineRule="exact"/>
        <w:ind w:left="709"/>
        <w:jc w:val="both"/>
        <w:rPr>
          <w:rFonts w:ascii="Arial" w:eastAsia="Calibri" w:hAnsi="Arial" w:cs="Arial"/>
          <w:spacing w:val="-1"/>
          <w:sz w:val="17"/>
          <w:szCs w:val="17"/>
        </w:rPr>
      </w:pPr>
    </w:p>
    <w:p w:rsidR="00577A8F" w:rsidRPr="001E50BC" w:rsidRDefault="00577A8F" w:rsidP="00812398">
      <w:pPr>
        <w:pStyle w:val="Prrafodelista"/>
        <w:numPr>
          <w:ilvl w:val="0"/>
          <w:numId w:val="13"/>
        </w:numPr>
        <w:spacing w:before="80" w:line="250" w:lineRule="exact"/>
        <w:jc w:val="both"/>
        <w:rPr>
          <w:rFonts w:ascii="Arial" w:eastAsia="Calibri" w:hAnsi="Arial" w:cs="Arial"/>
          <w:b/>
          <w:spacing w:val="-1"/>
          <w:sz w:val="17"/>
          <w:szCs w:val="17"/>
        </w:rPr>
      </w:pPr>
      <w:r w:rsidRPr="001E50BC">
        <w:rPr>
          <w:rFonts w:ascii="Arial" w:eastAsia="Calibri" w:hAnsi="Arial" w:cs="Arial"/>
          <w:b/>
          <w:spacing w:val="-1"/>
          <w:sz w:val="17"/>
          <w:szCs w:val="17"/>
        </w:rPr>
        <w:t>Otros Ingresos y Beneficios</w:t>
      </w:r>
    </w:p>
    <w:p w:rsidR="00081131" w:rsidRDefault="00081131" w:rsidP="00081131">
      <w:pPr>
        <w:spacing w:before="80" w:line="250" w:lineRule="exact"/>
        <w:ind w:left="360"/>
        <w:jc w:val="both"/>
        <w:rPr>
          <w:rFonts w:ascii="Arial" w:eastAsia="Calibri" w:hAnsi="Arial" w:cs="Arial"/>
          <w:spacing w:val="-1"/>
          <w:sz w:val="17"/>
          <w:szCs w:val="17"/>
        </w:rPr>
      </w:pPr>
      <w:r w:rsidRPr="00081131">
        <w:rPr>
          <w:rFonts w:ascii="Arial" w:eastAsia="Calibri" w:hAnsi="Arial" w:cs="Arial"/>
          <w:spacing w:val="-1"/>
          <w:sz w:val="17"/>
          <w:szCs w:val="17"/>
        </w:rPr>
        <w:t>Del</w:t>
      </w:r>
      <w:r>
        <w:rPr>
          <w:rFonts w:ascii="Arial" w:eastAsia="Calibri" w:hAnsi="Arial" w:cs="Arial"/>
          <w:spacing w:val="-1"/>
          <w:sz w:val="17"/>
          <w:szCs w:val="17"/>
        </w:rPr>
        <w:t xml:space="preserve"> rubro</w:t>
      </w:r>
      <w:r w:rsidRPr="00081131">
        <w:rPr>
          <w:rFonts w:ascii="Arial" w:eastAsia="Calibri" w:hAnsi="Arial" w:cs="Arial"/>
          <w:spacing w:val="-1"/>
          <w:sz w:val="17"/>
          <w:szCs w:val="17"/>
        </w:rPr>
        <w:t xml:space="preserve"> de </w:t>
      </w:r>
      <w:r w:rsidR="009A5B1C">
        <w:rPr>
          <w:rFonts w:ascii="Arial" w:eastAsia="Calibri" w:hAnsi="Arial" w:cs="Arial"/>
          <w:spacing w:val="-1"/>
          <w:sz w:val="17"/>
          <w:szCs w:val="17"/>
        </w:rPr>
        <w:t xml:space="preserve">Otros Ingresos y Beneficios se informa un monto al cierre del </w:t>
      </w:r>
      <w:r w:rsidR="00582811">
        <w:rPr>
          <w:rFonts w:ascii="Arial" w:eastAsia="Calibri" w:hAnsi="Arial" w:cs="Arial"/>
          <w:spacing w:val="-1"/>
          <w:sz w:val="17"/>
          <w:szCs w:val="17"/>
        </w:rPr>
        <w:t>2017</w:t>
      </w:r>
      <w:r w:rsidR="009A5B1C">
        <w:rPr>
          <w:rFonts w:ascii="Arial" w:eastAsia="Calibri" w:hAnsi="Arial" w:cs="Arial"/>
          <w:spacing w:val="-1"/>
          <w:sz w:val="17"/>
          <w:szCs w:val="17"/>
        </w:rPr>
        <w:t xml:space="preserve"> de </w:t>
      </w:r>
      <w:r w:rsidR="00DA1E7C">
        <w:rPr>
          <w:rFonts w:ascii="Arial" w:eastAsia="Calibri" w:hAnsi="Arial" w:cs="Arial"/>
          <w:spacing w:val="-1"/>
          <w:sz w:val="17"/>
          <w:szCs w:val="17"/>
        </w:rPr>
        <w:t>3</w:t>
      </w:r>
      <w:r w:rsidR="009A5B1C">
        <w:rPr>
          <w:rFonts w:ascii="Arial" w:eastAsia="Calibri" w:hAnsi="Arial" w:cs="Arial"/>
          <w:spacing w:val="-1"/>
          <w:sz w:val="17"/>
          <w:szCs w:val="17"/>
        </w:rPr>
        <w:t>,</w:t>
      </w:r>
      <w:r w:rsidR="00DA1E7C">
        <w:rPr>
          <w:rFonts w:ascii="Arial" w:eastAsia="Calibri" w:hAnsi="Arial" w:cs="Arial"/>
          <w:spacing w:val="-1"/>
          <w:sz w:val="17"/>
          <w:szCs w:val="17"/>
        </w:rPr>
        <w:t>621</w:t>
      </w:r>
      <w:r w:rsidR="009A5B1C">
        <w:rPr>
          <w:rFonts w:ascii="Arial" w:eastAsia="Calibri" w:hAnsi="Arial" w:cs="Arial"/>
          <w:spacing w:val="-1"/>
          <w:sz w:val="17"/>
          <w:szCs w:val="17"/>
        </w:rPr>
        <w:t>,</w:t>
      </w:r>
      <w:r w:rsidR="00DA1E7C">
        <w:rPr>
          <w:rFonts w:ascii="Arial" w:eastAsia="Calibri" w:hAnsi="Arial" w:cs="Arial"/>
          <w:spacing w:val="-1"/>
          <w:sz w:val="17"/>
          <w:szCs w:val="17"/>
        </w:rPr>
        <w:t>574</w:t>
      </w:r>
      <w:r w:rsidR="009A5B1C">
        <w:rPr>
          <w:rFonts w:ascii="Arial" w:eastAsia="Calibri" w:hAnsi="Arial" w:cs="Arial"/>
          <w:spacing w:val="-1"/>
          <w:sz w:val="17"/>
          <w:szCs w:val="17"/>
        </w:rPr>
        <w:t xml:space="preserve"> integrados de la siguiente manera:</w:t>
      </w:r>
    </w:p>
    <w:p w:rsidR="009A5B1C" w:rsidRPr="00146A6D" w:rsidRDefault="009A5B1C" w:rsidP="009A5B1C">
      <w:pPr>
        <w:autoSpaceDE w:val="0"/>
        <w:autoSpaceDN w:val="0"/>
        <w:adjustRightInd w:val="0"/>
        <w:spacing w:before="240" w:after="120"/>
        <w:ind w:left="360"/>
        <w:jc w:val="center"/>
        <w:rPr>
          <w:rFonts w:ascii="Arial" w:eastAsia="Calibri" w:hAnsi="Arial" w:cs="Arial"/>
          <w:b/>
          <w:spacing w:val="-1"/>
          <w:sz w:val="17"/>
          <w:szCs w:val="17"/>
        </w:rPr>
      </w:pPr>
      <w:r w:rsidRPr="00146A6D">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A5B1C" w:rsidRPr="002D70DA" w:rsidTr="00F2042B">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A5B1C" w:rsidRPr="002D70DA" w:rsidRDefault="009A5B1C" w:rsidP="00F2042B">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A5B1C" w:rsidRPr="002D70DA" w:rsidRDefault="00582811" w:rsidP="00F2042B">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A5B1C" w:rsidRPr="002D70DA" w:rsidRDefault="00582811" w:rsidP="00F2042B">
            <w:pPr>
              <w:jc w:val="center"/>
              <w:rPr>
                <w:rFonts w:ascii="Arial" w:hAnsi="Arial" w:cs="Arial"/>
                <w:b/>
                <w:bCs/>
                <w:color w:val="000000"/>
                <w:sz w:val="17"/>
                <w:szCs w:val="17"/>
              </w:rPr>
            </w:pPr>
            <w:r>
              <w:rPr>
                <w:rFonts w:ascii="Arial" w:hAnsi="Arial" w:cs="Arial"/>
                <w:b/>
                <w:bCs/>
                <w:color w:val="000000"/>
                <w:sz w:val="17"/>
                <w:szCs w:val="17"/>
              </w:rPr>
              <w:t>2016</w:t>
            </w:r>
          </w:p>
        </w:tc>
      </w:tr>
      <w:tr w:rsidR="00DA1E7C" w:rsidRPr="001A6B95" w:rsidTr="00F2042B">
        <w:trPr>
          <w:trHeight w:val="8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A1E7C" w:rsidRPr="001A6B95" w:rsidRDefault="00DA1E7C" w:rsidP="00DA1E7C">
            <w:pPr>
              <w:rPr>
                <w:rFonts w:ascii="Arial" w:hAnsi="Arial" w:cs="Arial"/>
                <w:sz w:val="17"/>
                <w:szCs w:val="17"/>
              </w:rPr>
            </w:pPr>
            <w:r>
              <w:rPr>
                <w:rFonts w:ascii="Arial" w:hAnsi="Arial" w:cs="Arial"/>
                <w:sz w:val="17"/>
                <w:szCs w:val="17"/>
              </w:rPr>
              <w:t xml:space="preserve">Ingresos Financieros </w:t>
            </w:r>
          </w:p>
        </w:tc>
        <w:tc>
          <w:tcPr>
            <w:tcW w:w="2180" w:type="dxa"/>
            <w:tcBorders>
              <w:top w:val="single" w:sz="4" w:space="0" w:color="auto"/>
              <w:left w:val="nil"/>
              <w:bottom w:val="single" w:sz="4" w:space="0" w:color="auto"/>
              <w:right w:val="single" w:sz="4" w:space="0" w:color="auto"/>
            </w:tcBorders>
            <w:shd w:val="clear" w:color="auto" w:fill="auto"/>
          </w:tcPr>
          <w:p w:rsidR="00DA1E7C" w:rsidRPr="00146A6D" w:rsidRDefault="00DA1E7C" w:rsidP="00DA1E7C">
            <w:pPr>
              <w:jc w:val="right"/>
              <w:rPr>
                <w:rFonts w:ascii="Arial" w:hAnsi="Arial" w:cs="Arial"/>
                <w:sz w:val="17"/>
                <w:szCs w:val="17"/>
              </w:rPr>
            </w:pPr>
            <w:r w:rsidRPr="00DA1E7C">
              <w:rPr>
                <w:rFonts w:ascii="Arial" w:hAnsi="Arial" w:cs="Arial"/>
                <w:sz w:val="17"/>
                <w:szCs w:val="17"/>
              </w:rPr>
              <w:t>17,898</w:t>
            </w:r>
          </w:p>
        </w:tc>
        <w:tc>
          <w:tcPr>
            <w:tcW w:w="2180" w:type="dxa"/>
            <w:tcBorders>
              <w:top w:val="single" w:sz="4" w:space="0" w:color="auto"/>
              <w:left w:val="nil"/>
              <w:bottom w:val="single" w:sz="4" w:space="0" w:color="auto"/>
              <w:right w:val="single" w:sz="4" w:space="0" w:color="auto"/>
            </w:tcBorders>
            <w:shd w:val="clear" w:color="auto" w:fill="auto"/>
          </w:tcPr>
          <w:p w:rsidR="00DA1E7C" w:rsidRPr="00146A6D" w:rsidRDefault="00DA1E7C" w:rsidP="00DA1E7C">
            <w:pPr>
              <w:jc w:val="right"/>
              <w:rPr>
                <w:rFonts w:ascii="Arial" w:hAnsi="Arial" w:cs="Arial"/>
                <w:sz w:val="17"/>
                <w:szCs w:val="17"/>
              </w:rPr>
            </w:pPr>
            <w:r w:rsidRPr="009A5B1C">
              <w:rPr>
                <w:rFonts w:ascii="Arial" w:hAnsi="Arial" w:cs="Arial"/>
                <w:sz w:val="17"/>
                <w:szCs w:val="17"/>
              </w:rPr>
              <w:t>1,100,967</w:t>
            </w:r>
          </w:p>
        </w:tc>
      </w:tr>
      <w:tr w:rsidR="00DA1E7C" w:rsidRPr="001A6B95" w:rsidTr="00F2042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A1E7C" w:rsidRPr="001A6B95" w:rsidRDefault="00DA1E7C" w:rsidP="00DA1E7C">
            <w:pPr>
              <w:rPr>
                <w:rFonts w:ascii="Arial" w:hAnsi="Arial" w:cs="Arial"/>
                <w:sz w:val="17"/>
                <w:szCs w:val="17"/>
              </w:rPr>
            </w:pPr>
            <w:r w:rsidRPr="00081131">
              <w:rPr>
                <w:rFonts w:ascii="Arial" w:hAnsi="Arial" w:cs="Arial"/>
                <w:sz w:val="17"/>
                <w:szCs w:val="17"/>
              </w:rPr>
              <w:t>Otros Ingresos Financieros</w:t>
            </w:r>
          </w:p>
        </w:tc>
        <w:tc>
          <w:tcPr>
            <w:tcW w:w="2180" w:type="dxa"/>
            <w:tcBorders>
              <w:top w:val="nil"/>
              <w:left w:val="nil"/>
              <w:bottom w:val="single" w:sz="4" w:space="0" w:color="auto"/>
              <w:right w:val="single" w:sz="4" w:space="0" w:color="auto"/>
            </w:tcBorders>
            <w:shd w:val="clear" w:color="auto" w:fill="auto"/>
          </w:tcPr>
          <w:p w:rsidR="00DA1E7C" w:rsidRPr="00146A6D" w:rsidRDefault="00DA1E7C" w:rsidP="00DA1E7C">
            <w:pPr>
              <w:jc w:val="right"/>
              <w:rPr>
                <w:rFonts w:ascii="Arial" w:hAnsi="Arial" w:cs="Arial"/>
                <w:sz w:val="17"/>
                <w:szCs w:val="17"/>
              </w:rPr>
            </w:pPr>
            <w:r w:rsidRPr="00DA1E7C">
              <w:rPr>
                <w:rFonts w:ascii="Arial" w:hAnsi="Arial" w:cs="Arial"/>
                <w:sz w:val="17"/>
                <w:szCs w:val="17"/>
              </w:rPr>
              <w:t>3,603,675</w:t>
            </w:r>
          </w:p>
        </w:tc>
        <w:tc>
          <w:tcPr>
            <w:tcW w:w="2180" w:type="dxa"/>
            <w:tcBorders>
              <w:top w:val="nil"/>
              <w:left w:val="nil"/>
              <w:bottom w:val="single" w:sz="4" w:space="0" w:color="auto"/>
              <w:right w:val="single" w:sz="4" w:space="0" w:color="auto"/>
            </w:tcBorders>
            <w:shd w:val="clear" w:color="auto" w:fill="auto"/>
          </w:tcPr>
          <w:p w:rsidR="00DA1E7C" w:rsidRPr="00146A6D" w:rsidRDefault="00DA1E7C" w:rsidP="00DA1E7C">
            <w:pPr>
              <w:jc w:val="right"/>
              <w:rPr>
                <w:rFonts w:ascii="Arial" w:hAnsi="Arial" w:cs="Arial"/>
                <w:sz w:val="17"/>
                <w:szCs w:val="17"/>
              </w:rPr>
            </w:pPr>
            <w:r w:rsidRPr="009A5B1C">
              <w:rPr>
                <w:rFonts w:ascii="Arial" w:hAnsi="Arial" w:cs="Arial"/>
                <w:sz w:val="17"/>
                <w:szCs w:val="17"/>
              </w:rPr>
              <w:t>606,013,116</w:t>
            </w:r>
          </w:p>
        </w:tc>
      </w:tr>
      <w:tr w:rsidR="00DA1E7C" w:rsidRPr="002D70DA" w:rsidTr="00335A0D">
        <w:trPr>
          <w:trHeight w:val="240"/>
          <w:jc w:val="center"/>
        </w:trPr>
        <w:tc>
          <w:tcPr>
            <w:tcW w:w="4900" w:type="dxa"/>
            <w:tcBorders>
              <w:top w:val="nil"/>
              <w:left w:val="nil"/>
              <w:bottom w:val="nil"/>
              <w:right w:val="nil"/>
            </w:tcBorders>
            <w:shd w:val="clear" w:color="000000" w:fill="FFFFFF"/>
            <w:vAlign w:val="center"/>
            <w:hideMark/>
          </w:tcPr>
          <w:p w:rsidR="00DA1E7C" w:rsidRPr="002D70DA" w:rsidRDefault="00DA1E7C" w:rsidP="00DA1E7C">
            <w:pPr>
              <w:jc w:val="center"/>
              <w:rPr>
                <w:rFonts w:ascii="Arial" w:hAnsi="Arial" w:cs="Arial"/>
                <w:b/>
                <w:bCs/>
                <w:color w:val="000000"/>
                <w:sz w:val="17"/>
                <w:szCs w:val="17"/>
              </w:rPr>
            </w:pPr>
            <w:r>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DA1E7C" w:rsidRPr="002D70DA" w:rsidRDefault="00DA1E7C" w:rsidP="00DA1E7C">
            <w:pPr>
              <w:jc w:val="right"/>
              <w:rPr>
                <w:rFonts w:ascii="Arial" w:hAnsi="Arial" w:cs="Arial"/>
                <w:b/>
                <w:bCs/>
                <w:color w:val="000000"/>
                <w:sz w:val="17"/>
                <w:szCs w:val="17"/>
              </w:rPr>
            </w:pPr>
            <w:r w:rsidRPr="00DA1E7C">
              <w:rPr>
                <w:rFonts w:ascii="Arial" w:hAnsi="Arial" w:cs="Arial"/>
                <w:b/>
                <w:bCs/>
                <w:color w:val="000000"/>
                <w:sz w:val="17"/>
                <w:szCs w:val="17"/>
                <w14:numForm w14:val="lining"/>
              </w:rPr>
              <w:t>3,621,574</w:t>
            </w:r>
          </w:p>
        </w:tc>
        <w:tc>
          <w:tcPr>
            <w:tcW w:w="2180" w:type="dxa"/>
            <w:tcBorders>
              <w:top w:val="single" w:sz="4" w:space="0" w:color="auto"/>
              <w:left w:val="nil"/>
              <w:bottom w:val="single" w:sz="4" w:space="0" w:color="auto"/>
              <w:right w:val="single" w:sz="4" w:space="0" w:color="auto"/>
            </w:tcBorders>
            <w:shd w:val="clear" w:color="000000" w:fill="FFFFFF"/>
            <w:noWrap/>
            <w:vAlign w:val="center"/>
            <w:hideMark/>
          </w:tcPr>
          <w:p w:rsidR="00DA1E7C" w:rsidRPr="002D70DA" w:rsidRDefault="00DA1E7C" w:rsidP="00DA1E7C">
            <w:pPr>
              <w:jc w:val="right"/>
              <w:rPr>
                <w:rFonts w:ascii="Arial" w:hAnsi="Arial" w:cs="Arial"/>
                <w:b/>
                <w:bCs/>
                <w:color w:val="000000"/>
                <w:sz w:val="17"/>
                <w:szCs w:val="17"/>
              </w:rPr>
            </w:pPr>
            <w:r w:rsidRPr="009A5B1C">
              <w:rPr>
                <w:rFonts w:ascii="Arial" w:hAnsi="Arial" w:cs="Arial"/>
                <w:b/>
                <w:bCs/>
                <w:color w:val="000000"/>
                <w:sz w:val="17"/>
                <w:szCs w:val="17"/>
                <w14:numForm w14:val="lining"/>
              </w:rPr>
              <w:t>607,114,083</w:t>
            </w:r>
          </w:p>
        </w:tc>
      </w:tr>
    </w:tbl>
    <w:p w:rsidR="00492524" w:rsidRDefault="00492524" w:rsidP="009F054B">
      <w:pPr>
        <w:autoSpaceDE w:val="0"/>
        <w:autoSpaceDN w:val="0"/>
        <w:adjustRightInd w:val="0"/>
        <w:spacing w:before="240" w:after="120"/>
        <w:ind w:left="709"/>
        <w:rPr>
          <w:rFonts w:ascii="Arial" w:eastAsia="Calibri" w:hAnsi="Arial" w:cs="Arial"/>
          <w:spacing w:val="-1"/>
          <w:sz w:val="17"/>
          <w:szCs w:val="17"/>
        </w:rPr>
      </w:pPr>
    </w:p>
    <w:p w:rsidR="00492524" w:rsidRDefault="00492524" w:rsidP="009F054B">
      <w:pPr>
        <w:autoSpaceDE w:val="0"/>
        <w:autoSpaceDN w:val="0"/>
        <w:adjustRightInd w:val="0"/>
        <w:spacing w:before="240" w:after="120"/>
        <w:ind w:left="709"/>
        <w:rPr>
          <w:rFonts w:ascii="Arial" w:eastAsia="Calibri" w:hAnsi="Arial" w:cs="Arial"/>
          <w:spacing w:val="-1"/>
          <w:sz w:val="17"/>
          <w:szCs w:val="17"/>
        </w:rPr>
      </w:pPr>
    </w:p>
    <w:p w:rsidR="00492524" w:rsidRDefault="00492524" w:rsidP="009F054B">
      <w:pPr>
        <w:autoSpaceDE w:val="0"/>
        <w:autoSpaceDN w:val="0"/>
        <w:adjustRightInd w:val="0"/>
        <w:spacing w:before="240" w:after="120"/>
        <w:ind w:left="709"/>
        <w:rPr>
          <w:rFonts w:ascii="Arial" w:eastAsia="Calibri" w:hAnsi="Arial" w:cs="Arial"/>
          <w:spacing w:val="-1"/>
          <w:sz w:val="17"/>
          <w:szCs w:val="17"/>
        </w:rPr>
      </w:pPr>
    </w:p>
    <w:p w:rsidR="009F054B" w:rsidRDefault="00451D48" w:rsidP="009F054B">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451D48" w:rsidRPr="002D70DA" w:rsidRDefault="00451D48" w:rsidP="009F054B">
      <w:pPr>
        <w:autoSpaceDE w:val="0"/>
        <w:autoSpaceDN w:val="0"/>
        <w:adjustRightInd w:val="0"/>
        <w:spacing w:before="240" w:after="120"/>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51D48" w:rsidRPr="002D70DA" w:rsidRDefault="00451D48"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1D48"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1D48"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6C5E04" w:rsidRDefault="00451D48" w:rsidP="00451D48">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451D48" w:rsidRPr="007F2F7F" w:rsidRDefault="004312BA" w:rsidP="00451D48">
            <w:pPr>
              <w:jc w:val="right"/>
              <w:rPr>
                <w:rFonts w:ascii="Arial" w:hAnsi="Arial" w:cs="Arial"/>
                <w:b/>
                <w:sz w:val="17"/>
                <w:szCs w:val="17"/>
              </w:rPr>
            </w:pPr>
            <w:r w:rsidRPr="004312BA">
              <w:rPr>
                <w:rFonts w:ascii="Arial" w:hAnsi="Arial" w:cs="Arial"/>
                <w:b/>
                <w:sz w:val="17"/>
                <w:szCs w:val="17"/>
              </w:rPr>
              <w:t>179,565</w:t>
            </w:r>
          </w:p>
        </w:tc>
        <w:tc>
          <w:tcPr>
            <w:tcW w:w="2180" w:type="dxa"/>
            <w:tcBorders>
              <w:top w:val="single" w:sz="4" w:space="0" w:color="auto"/>
              <w:left w:val="nil"/>
              <w:bottom w:val="single" w:sz="4" w:space="0" w:color="auto"/>
              <w:right w:val="single" w:sz="4" w:space="0" w:color="auto"/>
            </w:tcBorders>
            <w:shd w:val="clear" w:color="auto" w:fill="auto"/>
          </w:tcPr>
          <w:p w:rsidR="00451D48" w:rsidRPr="007F2F7F" w:rsidRDefault="007F2F7F" w:rsidP="00451D48">
            <w:pPr>
              <w:jc w:val="right"/>
              <w:rPr>
                <w:rFonts w:ascii="Arial" w:hAnsi="Arial" w:cs="Arial"/>
                <w:b/>
                <w:sz w:val="17"/>
                <w:szCs w:val="17"/>
              </w:rPr>
            </w:pPr>
            <w:r w:rsidRPr="007F2F7F">
              <w:rPr>
                <w:rFonts w:ascii="Arial" w:hAnsi="Arial" w:cs="Arial"/>
                <w:b/>
                <w:sz w:val="17"/>
                <w:szCs w:val="17"/>
              </w:rPr>
              <w:t>595,183,096</w:t>
            </w:r>
          </w:p>
        </w:tc>
      </w:tr>
      <w:tr w:rsidR="004312BA"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312BA" w:rsidRPr="006C5E04" w:rsidRDefault="004312BA" w:rsidP="00451D48">
            <w:pPr>
              <w:rPr>
                <w:rFonts w:ascii="Arial" w:hAnsi="Arial" w:cs="Arial"/>
                <w:b/>
                <w:sz w:val="17"/>
                <w:szCs w:val="17"/>
              </w:rPr>
            </w:pPr>
            <w:r>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4312BA" w:rsidRPr="004312BA" w:rsidRDefault="004312BA" w:rsidP="00451D48">
            <w:pPr>
              <w:jc w:val="right"/>
              <w:rPr>
                <w:rFonts w:ascii="Arial" w:hAnsi="Arial" w:cs="Arial"/>
                <w:b/>
                <w:sz w:val="17"/>
                <w:szCs w:val="17"/>
              </w:rPr>
            </w:pPr>
            <w:r w:rsidRPr="004312BA">
              <w:rPr>
                <w:rFonts w:ascii="Arial" w:hAnsi="Arial" w:cs="Arial"/>
                <w:b/>
                <w:sz w:val="17"/>
                <w:szCs w:val="17"/>
              </w:rPr>
              <w:t>353,877</w:t>
            </w:r>
          </w:p>
        </w:tc>
        <w:tc>
          <w:tcPr>
            <w:tcW w:w="2180" w:type="dxa"/>
            <w:tcBorders>
              <w:top w:val="single" w:sz="4" w:space="0" w:color="auto"/>
              <w:left w:val="nil"/>
              <w:bottom w:val="single" w:sz="4" w:space="0" w:color="auto"/>
              <w:right w:val="single" w:sz="4" w:space="0" w:color="auto"/>
            </w:tcBorders>
            <w:shd w:val="clear" w:color="auto" w:fill="auto"/>
          </w:tcPr>
          <w:p w:rsidR="004312BA" w:rsidRPr="007F2F7F" w:rsidRDefault="004312BA" w:rsidP="00451D48">
            <w:pPr>
              <w:jc w:val="right"/>
              <w:rPr>
                <w:rFonts w:ascii="Arial" w:hAnsi="Arial" w:cs="Arial"/>
                <w:b/>
                <w:sz w:val="17"/>
                <w:szCs w:val="17"/>
              </w:rPr>
            </w:pPr>
            <w:r>
              <w:rPr>
                <w:rFonts w:ascii="Arial" w:hAnsi="Arial" w:cs="Arial"/>
                <w:b/>
                <w:sz w:val="17"/>
                <w:szCs w:val="17"/>
              </w:rPr>
              <w:t>0</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6C5E04" w:rsidRDefault="00451D48" w:rsidP="00451D48">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51D48" w:rsidRPr="007F2F7F" w:rsidRDefault="004312BA" w:rsidP="00451D48">
            <w:pPr>
              <w:jc w:val="right"/>
              <w:rPr>
                <w:rFonts w:ascii="Arial" w:hAnsi="Arial" w:cs="Arial"/>
                <w:b/>
                <w:sz w:val="17"/>
                <w:szCs w:val="17"/>
              </w:rPr>
            </w:pPr>
            <w:r>
              <w:rPr>
                <w:rFonts w:ascii="Arial" w:hAnsi="Arial" w:cs="Arial"/>
                <w:b/>
                <w:sz w:val="17"/>
                <w:szCs w:val="17"/>
              </w:rPr>
              <w:t>3,088,131</w:t>
            </w:r>
          </w:p>
        </w:tc>
        <w:tc>
          <w:tcPr>
            <w:tcW w:w="2180" w:type="dxa"/>
            <w:tcBorders>
              <w:top w:val="single" w:sz="4" w:space="0" w:color="auto"/>
              <w:left w:val="nil"/>
              <w:bottom w:val="single" w:sz="4" w:space="0" w:color="auto"/>
              <w:right w:val="single" w:sz="4" w:space="0" w:color="auto"/>
            </w:tcBorders>
            <w:shd w:val="clear" w:color="auto" w:fill="auto"/>
          </w:tcPr>
          <w:p w:rsidR="00451D48" w:rsidRPr="007F2F7F" w:rsidRDefault="007F2F7F" w:rsidP="00451D48">
            <w:pPr>
              <w:jc w:val="right"/>
              <w:rPr>
                <w:rFonts w:ascii="Arial" w:hAnsi="Arial" w:cs="Arial"/>
                <w:b/>
                <w:sz w:val="17"/>
                <w:szCs w:val="17"/>
              </w:rPr>
            </w:pPr>
            <w:r>
              <w:rPr>
                <w:rFonts w:ascii="Arial" w:hAnsi="Arial" w:cs="Arial"/>
                <w:b/>
                <w:sz w:val="17"/>
                <w:szCs w:val="17"/>
              </w:rPr>
              <w:t>11,930,987</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312BA" w:rsidP="00451D48">
            <w:pPr>
              <w:jc w:val="right"/>
              <w:rPr>
                <w:rFonts w:ascii="Arial" w:hAnsi="Arial" w:cs="Arial"/>
                <w:sz w:val="17"/>
                <w:szCs w:val="17"/>
              </w:rPr>
            </w:pPr>
            <w:r w:rsidRPr="004312BA">
              <w:rPr>
                <w:rFonts w:ascii="Arial" w:hAnsi="Arial" w:cs="Arial"/>
                <w:sz w:val="17"/>
                <w:szCs w:val="17"/>
              </w:rPr>
              <w:t>28,121</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7F2F7F" w:rsidP="00451D48">
            <w:pPr>
              <w:jc w:val="right"/>
              <w:rPr>
                <w:rFonts w:ascii="Arial" w:hAnsi="Arial" w:cs="Arial"/>
                <w:sz w:val="17"/>
                <w:szCs w:val="17"/>
              </w:rPr>
            </w:pPr>
            <w:r w:rsidRPr="007F2F7F">
              <w:rPr>
                <w:rFonts w:ascii="Arial" w:hAnsi="Arial" w:cs="Arial"/>
                <w:sz w:val="17"/>
                <w:szCs w:val="17"/>
              </w:rPr>
              <w:t>22,349</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312BA" w:rsidP="00451D48">
            <w:pPr>
              <w:jc w:val="right"/>
              <w:rPr>
                <w:rFonts w:ascii="Arial" w:hAnsi="Arial" w:cs="Arial"/>
                <w:sz w:val="17"/>
                <w:szCs w:val="17"/>
              </w:rPr>
            </w:pPr>
            <w:r w:rsidRPr="004312BA">
              <w:rPr>
                <w:rFonts w:ascii="Arial" w:hAnsi="Arial" w:cs="Arial"/>
                <w:sz w:val="17"/>
                <w:szCs w:val="17"/>
              </w:rPr>
              <w:t>154</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7F2F7F" w:rsidP="00451D48">
            <w:pPr>
              <w:jc w:val="right"/>
              <w:rPr>
                <w:rFonts w:ascii="Arial" w:hAnsi="Arial" w:cs="Arial"/>
                <w:sz w:val="17"/>
                <w:szCs w:val="17"/>
              </w:rPr>
            </w:pPr>
            <w:r w:rsidRPr="007F2F7F">
              <w:rPr>
                <w:rFonts w:ascii="Arial" w:hAnsi="Arial" w:cs="Arial"/>
                <w:sz w:val="17"/>
                <w:szCs w:val="17"/>
              </w:rPr>
              <w:t>63,786</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312BA" w:rsidP="00451D48">
            <w:pPr>
              <w:jc w:val="right"/>
              <w:rPr>
                <w:rFonts w:ascii="Arial" w:hAnsi="Arial" w:cs="Arial"/>
                <w:sz w:val="17"/>
                <w:szCs w:val="17"/>
              </w:rPr>
            </w:pPr>
            <w:r w:rsidRPr="004312BA">
              <w:rPr>
                <w:rFonts w:ascii="Arial" w:hAnsi="Arial" w:cs="Arial"/>
                <w:sz w:val="17"/>
                <w:szCs w:val="17"/>
              </w:rPr>
              <w:t>191,442</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7F2F7F" w:rsidP="00451D48">
            <w:pPr>
              <w:jc w:val="right"/>
              <w:rPr>
                <w:rFonts w:ascii="Arial" w:hAnsi="Arial" w:cs="Arial"/>
                <w:sz w:val="17"/>
                <w:szCs w:val="17"/>
              </w:rPr>
            </w:pPr>
            <w:r w:rsidRPr="007F2F7F">
              <w:rPr>
                <w:rFonts w:ascii="Arial" w:hAnsi="Arial" w:cs="Arial"/>
                <w:sz w:val="17"/>
                <w:szCs w:val="17"/>
              </w:rPr>
              <w:t>378,677</w:t>
            </w:r>
          </w:p>
        </w:tc>
      </w:tr>
      <w:tr w:rsidR="004312BA" w:rsidRPr="002D70DA" w:rsidTr="00EC22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312BA" w:rsidRPr="009D4479" w:rsidRDefault="004312BA" w:rsidP="00EC22A4">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4312BA" w:rsidRPr="001B59E3" w:rsidRDefault="004312BA" w:rsidP="00EC22A4">
            <w:pPr>
              <w:jc w:val="right"/>
              <w:rPr>
                <w:rFonts w:ascii="Arial" w:hAnsi="Arial" w:cs="Arial"/>
                <w:sz w:val="17"/>
                <w:szCs w:val="17"/>
              </w:rPr>
            </w:pPr>
            <w:r w:rsidRPr="004312BA">
              <w:rPr>
                <w:rFonts w:ascii="Arial" w:hAnsi="Arial" w:cs="Arial"/>
                <w:sz w:val="17"/>
                <w:szCs w:val="17"/>
              </w:rPr>
              <w:t>2,868,414</w:t>
            </w:r>
          </w:p>
        </w:tc>
        <w:tc>
          <w:tcPr>
            <w:tcW w:w="2180" w:type="dxa"/>
            <w:tcBorders>
              <w:top w:val="single" w:sz="4" w:space="0" w:color="auto"/>
              <w:left w:val="nil"/>
              <w:bottom w:val="single" w:sz="4" w:space="0" w:color="auto"/>
              <w:right w:val="single" w:sz="4" w:space="0" w:color="auto"/>
            </w:tcBorders>
            <w:shd w:val="clear" w:color="auto" w:fill="auto"/>
          </w:tcPr>
          <w:p w:rsidR="004312BA" w:rsidRPr="001B59E3" w:rsidRDefault="004312BA" w:rsidP="00EC22A4">
            <w:pPr>
              <w:jc w:val="right"/>
              <w:rPr>
                <w:rFonts w:ascii="Arial" w:hAnsi="Arial" w:cs="Arial"/>
                <w:sz w:val="17"/>
                <w:szCs w:val="17"/>
              </w:rPr>
            </w:pPr>
            <w:r w:rsidRPr="004312BA">
              <w:rPr>
                <w:rFonts w:ascii="Arial" w:hAnsi="Arial" w:cs="Arial"/>
                <w:sz w:val="17"/>
                <w:szCs w:val="17"/>
              </w:rPr>
              <w:t>10,376,620</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312BA" w:rsidP="00451D48">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312BA" w:rsidP="00451D48">
            <w:pPr>
              <w:jc w:val="right"/>
              <w:rPr>
                <w:rFonts w:ascii="Arial" w:hAnsi="Arial" w:cs="Arial"/>
                <w:sz w:val="17"/>
                <w:szCs w:val="17"/>
              </w:rPr>
            </w:pPr>
            <w:r w:rsidRPr="004312BA">
              <w:rPr>
                <w:rFonts w:ascii="Arial" w:hAnsi="Arial" w:cs="Arial"/>
                <w:sz w:val="17"/>
                <w:szCs w:val="17"/>
              </w:rPr>
              <w:t>584,706</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312BA" w:rsidP="00451D48">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312BA" w:rsidP="00451D48">
            <w:pPr>
              <w:jc w:val="right"/>
              <w:rPr>
                <w:rFonts w:ascii="Arial" w:hAnsi="Arial" w:cs="Arial"/>
                <w:sz w:val="17"/>
                <w:szCs w:val="17"/>
              </w:rPr>
            </w:pPr>
            <w:r w:rsidRPr="004312BA">
              <w:rPr>
                <w:rFonts w:ascii="Arial" w:hAnsi="Arial" w:cs="Arial"/>
                <w:sz w:val="17"/>
                <w:szCs w:val="17"/>
              </w:rPr>
              <w:t>504,851</w:t>
            </w:r>
          </w:p>
        </w:tc>
      </w:tr>
      <w:tr w:rsidR="00451D48"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1D48" w:rsidRPr="009D4479" w:rsidRDefault="00C93D6F" w:rsidP="00451D48">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312BA" w:rsidP="004312BA">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451D48" w:rsidRPr="00451D48" w:rsidRDefault="004312BA" w:rsidP="00451D48">
            <w:pPr>
              <w:jc w:val="right"/>
              <w:rPr>
                <w:rFonts w:ascii="Arial" w:hAnsi="Arial" w:cs="Arial"/>
                <w:sz w:val="17"/>
                <w:szCs w:val="17"/>
              </w:rPr>
            </w:pPr>
            <w:r>
              <w:rPr>
                <w:rFonts w:ascii="Arial" w:hAnsi="Arial" w:cs="Arial"/>
                <w:sz w:val="17"/>
                <w:szCs w:val="17"/>
              </w:rPr>
              <w:t>-</w:t>
            </w:r>
            <w:r w:rsidRPr="004312BA">
              <w:rPr>
                <w:rFonts w:ascii="Arial" w:hAnsi="Arial" w:cs="Arial"/>
                <w:sz w:val="17"/>
                <w:szCs w:val="17"/>
              </w:rPr>
              <w:t>22</w:t>
            </w:r>
          </w:p>
        </w:tc>
      </w:tr>
      <w:tr w:rsidR="00451D48"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51D48" w:rsidRPr="009D4479" w:rsidRDefault="00451D48" w:rsidP="00451D48">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451D48" w:rsidRPr="00451D48" w:rsidRDefault="004312BA" w:rsidP="00451D48">
            <w:pPr>
              <w:jc w:val="right"/>
              <w:rPr>
                <w:rFonts w:ascii="Arial" w:hAnsi="Arial" w:cs="Arial"/>
                <w:sz w:val="17"/>
                <w:szCs w:val="17"/>
              </w:rPr>
            </w:pPr>
            <w:r>
              <w:rPr>
                <w:rFonts w:ascii="Arial" w:hAnsi="Arial" w:cs="Arial"/>
                <w:sz w:val="17"/>
                <w:szCs w:val="17"/>
              </w:rPr>
              <w:t>0</w:t>
            </w:r>
          </w:p>
        </w:tc>
        <w:tc>
          <w:tcPr>
            <w:tcW w:w="2180" w:type="dxa"/>
            <w:tcBorders>
              <w:top w:val="nil"/>
              <w:left w:val="nil"/>
              <w:bottom w:val="single" w:sz="4" w:space="0" w:color="auto"/>
              <w:right w:val="single" w:sz="4" w:space="0" w:color="auto"/>
            </w:tcBorders>
            <w:shd w:val="clear" w:color="auto" w:fill="auto"/>
          </w:tcPr>
          <w:p w:rsidR="00451D48" w:rsidRPr="00451D48" w:rsidRDefault="004312BA" w:rsidP="00451D48">
            <w:pPr>
              <w:jc w:val="right"/>
              <w:rPr>
                <w:rFonts w:ascii="Arial" w:hAnsi="Arial" w:cs="Arial"/>
                <w:sz w:val="17"/>
                <w:szCs w:val="17"/>
              </w:rPr>
            </w:pPr>
            <w:r w:rsidRPr="004312BA">
              <w:rPr>
                <w:rFonts w:ascii="Arial" w:hAnsi="Arial" w:cs="Arial"/>
                <w:sz w:val="17"/>
                <w:szCs w:val="17"/>
              </w:rPr>
              <w:t>19</w:t>
            </w:r>
          </w:p>
        </w:tc>
      </w:tr>
      <w:tr w:rsidR="00451D48"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451D48" w:rsidRPr="002D70DA" w:rsidRDefault="00451D48"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451D48" w:rsidRPr="005B5FB9" w:rsidRDefault="004312BA" w:rsidP="002165BD">
            <w:pPr>
              <w:jc w:val="right"/>
              <w:rPr>
                <w:rFonts w:ascii="Arial" w:hAnsi="Arial" w:cs="Arial"/>
                <w:b/>
                <w:bCs/>
                <w:color w:val="000000"/>
                <w:sz w:val="17"/>
                <w:szCs w:val="17"/>
                <w14:numForm w14:val="lining"/>
              </w:rPr>
            </w:pPr>
            <w:r w:rsidRPr="004312BA">
              <w:rPr>
                <w:rFonts w:ascii="Arial" w:hAnsi="Arial" w:cs="Arial"/>
                <w:b/>
                <w:bCs/>
                <w:color w:val="000000"/>
                <w:sz w:val="17"/>
                <w:szCs w:val="17"/>
                <w14:numForm w14:val="lining"/>
              </w:rPr>
              <w:t>3,621,574</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451D48" w:rsidRPr="005B5FB9" w:rsidRDefault="004312BA" w:rsidP="002165BD">
            <w:pPr>
              <w:jc w:val="right"/>
              <w:rPr>
                <w:rFonts w:ascii="Arial" w:hAnsi="Arial" w:cs="Arial"/>
                <w:b/>
                <w:bCs/>
                <w:color w:val="000000"/>
                <w:sz w:val="17"/>
                <w:szCs w:val="17"/>
                <w14:numForm w14:val="lining"/>
              </w:rPr>
            </w:pPr>
            <w:r w:rsidRPr="004312BA">
              <w:rPr>
                <w:rFonts w:ascii="Arial" w:hAnsi="Arial" w:cs="Arial"/>
                <w:b/>
                <w:bCs/>
                <w:color w:val="000000"/>
                <w:sz w:val="17"/>
                <w:szCs w:val="17"/>
                <w14:numForm w14:val="lining"/>
              </w:rPr>
              <w:t>607,114,083</w:t>
            </w:r>
          </w:p>
        </w:tc>
      </w:tr>
    </w:tbl>
    <w:p w:rsidR="00451D48" w:rsidRDefault="00451D48" w:rsidP="00CF338E">
      <w:pPr>
        <w:spacing w:before="80" w:line="250" w:lineRule="exact"/>
        <w:ind w:left="709"/>
        <w:jc w:val="both"/>
        <w:rPr>
          <w:rFonts w:ascii="Arial" w:eastAsia="Calibri" w:hAnsi="Arial" w:cs="Arial"/>
          <w:spacing w:val="-1"/>
          <w:sz w:val="17"/>
          <w:szCs w:val="17"/>
        </w:rPr>
      </w:pPr>
    </w:p>
    <w:p w:rsidR="009F054B" w:rsidRDefault="009F054B" w:rsidP="009F054B">
      <w:pPr>
        <w:ind w:firstLine="709"/>
        <w:rPr>
          <w:rFonts w:ascii="Arial" w:eastAsia="Calibri" w:hAnsi="Arial" w:cs="Arial"/>
          <w:spacing w:val="-1"/>
          <w:sz w:val="17"/>
          <w:szCs w:val="17"/>
        </w:rPr>
      </w:pPr>
      <w:r>
        <w:rPr>
          <w:rFonts w:ascii="Arial" w:eastAsia="Calibri" w:hAnsi="Arial" w:cs="Arial"/>
          <w:spacing w:val="-1"/>
          <w:sz w:val="17"/>
          <w:szCs w:val="17"/>
        </w:rPr>
        <w:br w:type="page"/>
      </w:r>
    </w:p>
    <w:p w:rsidR="00EE16EB" w:rsidRPr="00A8264F" w:rsidRDefault="00EE16EB" w:rsidP="00812398">
      <w:pPr>
        <w:pStyle w:val="Prrafodelista"/>
        <w:numPr>
          <w:ilvl w:val="0"/>
          <w:numId w:val="13"/>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582811">
        <w:rPr>
          <w:rFonts w:ascii="Arial" w:eastAsia="Calibri" w:hAnsi="Arial" w:cs="Arial"/>
          <w:spacing w:val="-1"/>
          <w:sz w:val="17"/>
          <w:szCs w:val="17"/>
        </w:rPr>
        <w:t>2017</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65487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582811" w:rsidP="00603D16">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582811" w:rsidP="00603D16">
            <w:pPr>
              <w:jc w:val="center"/>
              <w:rPr>
                <w:rFonts w:ascii="Arial" w:hAnsi="Arial" w:cs="Arial"/>
                <w:b/>
                <w:bCs/>
                <w:color w:val="000000"/>
                <w:sz w:val="17"/>
                <w:szCs w:val="17"/>
              </w:rPr>
            </w:pPr>
            <w:r>
              <w:rPr>
                <w:rFonts w:ascii="Arial" w:hAnsi="Arial" w:cs="Arial"/>
                <w:b/>
                <w:bCs/>
                <w:color w:val="000000"/>
                <w:sz w:val="17"/>
                <w:szCs w:val="17"/>
              </w:rPr>
              <w:t>2016</w:t>
            </w:r>
          </w:p>
        </w:tc>
      </w:tr>
      <w:tr w:rsidR="001521C4" w:rsidRPr="00882163" w:rsidTr="00EE409A">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1521C4" w:rsidRPr="001E79D9" w:rsidRDefault="001521C4" w:rsidP="001521C4">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1521C4">
              <w:rPr>
                <w:rFonts w:ascii="Arial" w:hAnsi="Arial" w:cs="Arial"/>
                <w:b/>
                <w:sz w:val="17"/>
                <w:szCs w:val="17"/>
              </w:rPr>
              <w:t>5,734,101,991</w:t>
            </w:r>
          </w:p>
        </w:tc>
        <w:tc>
          <w:tcPr>
            <w:tcW w:w="2180" w:type="dxa"/>
            <w:tcBorders>
              <w:top w:val="single" w:sz="4" w:space="0" w:color="auto"/>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EE409A">
              <w:rPr>
                <w:rFonts w:ascii="Arial" w:hAnsi="Arial" w:cs="Arial"/>
                <w:b/>
                <w:sz w:val="17"/>
                <w:szCs w:val="17"/>
              </w:rPr>
              <w:t>5,001,833,000</w:t>
            </w:r>
          </w:p>
        </w:tc>
      </w:tr>
      <w:tr w:rsidR="001521C4" w:rsidTr="00654877">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1521C4" w:rsidRPr="0015343C" w:rsidRDefault="001521C4" w:rsidP="001521C4">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1521C4" w:rsidRPr="001521C4" w:rsidRDefault="001521C4" w:rsidP="001521C4">
            <w:pPr>
              <w:jc w:val="right"/>
              <w:rPr>
                <w:rFonts w:ascii="Arial" w:hAnsi="Arial" w:cs="Arial"/>
                <w:sz w:val="17"/>
                <w:szCs w:val="17"/>
              </w:rPr>
            </w:pPr>
            <w:r w:rsidRPr="001521C4">
              <w:rPr>
                <w:rFonts w:ascii="Arial" w:hAnsi="Arial" w:cs="Arial"/>
                <w:sz w:val="17"/>
                <w:szCs w:val="17"/>
              </w:rPr>
              <w:t>3,831,126,151</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sz w:val="17"/>
                <w:szCs w:val="17"/>
              </w:rPr>
            </w:pPr>
            <w:r w:rsidRPr="00EE409A">
              <w:rPr>
                <w:rFonts w:ascii="Arial" w:hAnsi="Arial" w:cs="Arial"/>
                <w:sz w:val="17"/>
                <w:szCs w:val="17"/>
              </w:rPr>
              <w:t>3,553,891,276</w:t>
            </w:r>
          </w:p>
        </w:tc>
      </w:tr>
      <w:tr w:rsidR="001521C4"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521C4" w:rsidRPr="0015343C" w:rsidRDefault="001521C4" w:rsidP="001521C4">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1521C4" w:rsidRPr="001521C4" w:rsidRDefault="001521C4" w:rsidP="001521C4">
            <w:pPr>
              <w:jc w:val="right"/>
              <w:rPr>
                <w:rFonts w:ascii="Arial" w:hAnsi="Arial" w:cs="Arial"/>
                <w:sz w:val="17"/>
                <w:szCs w:val="17"/>
              </w:rPr>
            </w:pPr>
            <w:r w:rsidRPr="001521C4">
              <w:rPr>
                <w:rFonts w:ascii="Arial" w:hAnsi="Arial" w:cs="Arial"/>
                <w:sz w:val="17"/>
                <w:szCs w:val="17"/>
              </w:rPr>
              <w:t>444,583,311</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sz w:val="17"/>
                <w:szCs w:val="17"/>
              </w:rPr>
            </w:pPr>
            <w:r w:rsidRPr="00EE409A">
              <w:rPr>
                <w:rFonts w:ascii="Arial" w:hAnsi="Arial" w:cs="Arial"/>
                <w:sz w:val="17"/>
                <w:szCs w:val="17"/>
              </w:rPr>
              <w:t>296,703,449</w:t>
            </w:r>
          </w:p>
        </w:tc>
      </w:tr>
      <w:tr w:rsidR="001521C4"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521C4" w:rsidRPr="0015343C" w:rsidRDefault="001521C4" w:rsidP="001521C4">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1521C4" w:rsidRPr="001521C4" w:rsidRDefault="001521C4" w:rsidP="001521C4">
            <w:pPr>
              <w:jc w:val="right"/>
              <w:rPr>
                <w:rFonts w:ascii="Arial" w:hAnsi="Arial" w:cs="Arial"/>
                <w:sz w:val="17"/>
                <w:szCs w:val="17"/>
              </w:rPr>
            </w:pPr>
            <w:r w:rsidRPr="001521C4">
              <w:rPr>
                <w:rFonts w:ascii="Arial" w:hAnsi="Arial" w:cs="Arial"/>
                <w:sz w:val="17"/>
                <w:szCs w:val="17"/>
              </w:rPr>
              <w:t>1,458,392,530</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sz w:val="17"/>
                <w:szCs w:val="17"/>
              </w:rPr>
            </w:pPr>
            <w:r w:rsidRPr="00EE409A">
              <w:rPr>
                <w:rFonts w:ascii="Arial" w:hAnsi="Arial" w:cs="Arial"/>
                <w:sz w:val="17"/>
                <w:szCs w:val="17"/>
              </w:rPr>
              <w:t>1,151,238,275</w:t>
            </w:r>
          </w:p>
        </w:tc>
      </w:tr>
      <w:tr w:rsidR="001521C4"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521C4" w:rsidRPr="0069430E" w:rsidRDefault="001521C4" w:rsidP="001521C4">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1521C4">
              <w:rPr>
                <w:rFonts w:ascii="Arial" w:hAnsi="Arial" w:cs="Arial"/>
                <w:b/>
                <w:sz w:val="17"/>
                <w:szCs w:val="17"/>
              </w:rPr>
              <w:t>9,871,101,307</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EE409A">
              <w:rPr>
                <w:rFonts w:ascii="Arial" w:hAnsi="Arial" w:cs="Arial"/>
                <w:b/>
                <w:sz w:val="17"/>
                <w:szCs w:val="17"/>
              </w:rPr>
              <w:t>8,642,296,748</w:t>
            </w:r>
          </w:p>
        </w:tc>
      </w:tr>
      <w:tr w:rsidR="001521C4"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521C4" w:rsidRPr="0069430E" w:rsidRDefault="001521C4" w:rsidP="001521C4">
            <w:pPr>
              <w:rPr>
                <w:rFonts w:ascii="Arial" w:hAnsi="Arial" w:cs="Arial"/>
                <w:b/>
                <w:sz w:val="17"/>
                <w:szCs w:val="17"/>
              </w:rPr>
            </w:pPr>
            <w:r w:rsidRPr="0069430E">
              <w:rPr>
                <w:rFonts w:ascii="Arial" w:hAnsi="Arial" w:cs="Arial"/>
                <w:b/>
                <w:sz w:val="17"/>
                <w:szCs w:val="17"/>
              </w:rPr>
              <w:t>Participaciones y Aportaciones</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1521C4">
              <w:rPr>
                <w:rFonts w:ascii="Arial" w:hAnsi="Arial" w:cs="Arial"/>
                <w:b/>
                <w:sz w:val="17"/>
                <w:szCs w:val="17"/>
              </w:rPr>
              <w:t>16,930,743,880</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EE409A">
              <w:rPr>
                <w:rFonts w:ascii="Arial" w:hAnsi="Arial" w:cs="Arial"/>
                <w:b/>
                <w:sz w:val="17"/>
                <w:szCs w:val="17"/>
              </w:rPr>
              <w:t>15,945,450,326</w:t>
            </w:r>
          </w:p>
        </w:tc>
      </w:tr>
      <w:tr w:rsidR="001521C4" w:rsidRPr="001E79D9"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521C4" w:rsidRPr="0069430E" w:rsidRDefault="001521C4" w:rsidP="001521C4">
            <w:pPr>
              <w:rPr>
                <w:rFonts w:ascii="Arial" w:hAnsi="Arial" w:cs="Arial"/>
                <w:b/>
                <w:sz w:val="17"/>
                <w:szCs w:val="17"/>
              </w:rPr>
            </w:pPr>
            <w:r w:rsidRPr="0069430E">
              <w:rPr>
                <w:rFonts w:ascii="Arial" w:hAnsi="Arial" w:cs="Arial"/>
                <w:b/>
                <w:sz w:val="17"/>
                <w:szCs w:val="17"/>
              </w:rPr>
              <w:t>Intereses, Comisiones y Otros Gastos de la Deuda Pública</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1521C4">
              <w:rPr>
                <w:rFonts w:ascii="Arial" w:hAnsi="Arial" w:cs="Arial"/>
                <w:b/>
                <w:sz w:val="17"/>
                <w:szCs w:val="17"/>
              </w:rPr>
              <w:t>77,259,463</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EE409A">
              <w:rPr>
                <w:rFonts w:ascii="Arial" w:hAnsi="Arial" w:cs="Arial"/>
                <w:b/>
                <w:sz w:val="17"/>
                <w:szCs w:val="17"/>
              </w:rPr>
              <w:t>53,053,677</w:t>
            </w:r>
          </w:p>
        </w:tc>
      </w:tr>
      <w:tr w:rsidR="001521C4"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521C4" w:rsidRPr="0069430E" w:rsidRDefault="001521C4" w:rsidP="001521C4">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1521C4">
              <w:rPr>
                <w:rFonts w:ascii="Arial" w:hAnsi="Arial" w:cs="Arial"/>
                <w:b/>
                <w:sz w:val="17"/>
                <w:szCs w:val="17"/>
              </w:rPr>
              <w:t>266,306,662</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EE409A">
              <w:rPr>
                <w:rFonts w:ascii="Arial" w:hAnsi="Arial" w:cs="Arial"/>
                <w:b/>
                <w:sz w:val="17"/>
                <w:szCs w:val="17"/>
              </w:rPr>
              <w:t>779,371,951</w:t>
            </w:r>
          </w:p>
        </w:tc>
      </w:tr>
      <w:tr w:rsidR="001521C4"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521C4" w:rsidRPr="0069430E" w:rsidRDefault="001521C4" w:rsidP="001521C4">
            <w:pPr>
              <w:rPr>
                <w:rFonts w:ascii="Arial" w:hAnsi="Arial" w:cs="Arial"/>
                <w:b/>
                <w:sz w:val="17"/>
                <w:szCs w:val="17"/>
              </w:rPr>
            </w:pPr>
            <w:r w:rsidRPr="0069430E">
              <w:rPr>
                <w:rFonts w:ascii="Arial" w:hAnsi="Arial" w:cs="Arial"/>
                <w:b/>
                <w:sz w:val="17"/>
                <w:szCs w:val="17"/>
              </w:rPr>
              <w:t>Inversión Pública</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1521C4">
              <w:rPr>
                <w:rFonts w:ascii="Arial" w:hAnsi="Arial" w:cs="Arial"/>
                <w:b/>
                <w:sz w:val="17"/>
                <w:szCs w:val="17"/>
              </w:rPr>
              <w:t>620,211,552</w:t>
            </w:r>
          </w:p>
        </w:tc>
        <w:tc>
          <w:tcPr>
            <w:tcW w:w="2180" w:type="dxa"/>
            <w:tcBorders>
              <w:top w:val="nil"/>
              <w:left w:val="nil"/>
              <w:bottom w:val="single" w:sz="4" w:space="0" w:color="auto"/>
              <w:right w:val="single" w:sz="4" w:space="0" w:color="auto"/>
            </w:tcBorders>
            <w:shd w:val="clear" w:color="auto" w:fill="auto"/>
          </w:tcPr>
          <w:p w:rsidR="001521C4" w:rsidRPr="00EE409A" w:rsidRDefault="001521C4" w:rsidP="001521C4">
            <w:pPr>
              <w:jc w:val="right"/>
              <w:rPr>
                <w:rFonts w:ascii="Arial" w:hAnsi="Arial" w:cs="Arial"/>
                <w:b/>
                <w:sz w:val="17"/>
                <w:szCs w:val="17"/>
              </w:rPr>
            </w:pPr>
            <w:r w:rsidRPr="00EE409A">
              <w:rPr>
                <w:rFonts w:ascii="Arial" w:hAnsi="Arial" w:cs="Arial"/>
                <w:b/>
                <w:sz w:val="17"/>
                <w:szCs w:val="17"/>
              </w:rPr>
              <w:t>410,805,846</w:t>
            </w:r>
          </w:p>
        </w:tc>
      </w:tr>
      <w:tr w:rsidR="001521C4" w:rsidRPr="002D70DA" w:rsidTr="002F27E7">
        <w:trPr>
          <w:trHeight w:val="240"/>
          <w:jc w:val="center"/>
        </w:trPr>
        <w:tc>
          <w:tcPr>
            <w:tcW w:w="4900" w:type="dxa"/>
            <w:tcBorders>
              <w:top w:val="nil"/>
              <w:left w:val="nil"/>
              <w:bottom w:val="nil"/>
              <w:right w:val="nil"/>
            </w:tcBorders>
            <w:shd w:val="clear" w:color="000000" w:fill="FFFFFF"/>
            <w:vAlign w:val="center"/>
            <w:hideMark/>
          </w:tcPr>
          <w:p w:rsidR="001521C4" w:rsidRPr="002D70DA" w:rsidRDefault="001521C4" w:rsidP="001521C4">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521C4" w:rsidRPr="002D70DA" w:rsidRDefault="001521C4" w:rsidP="001521C4">
            <w:pPr>
              <w:jc w:val="right"/>
              <w:rPr>
                <w:rFonts w:ascii="Arial" w:hAnsi="Arial" w:cs="Arial"/>
                <w:b/>
                <w:bCs/>
                <w:color w:val="000000"/>
                <w:sz w:val="17"/>
                <w:szCs w:val="17"/>
              </w:rPr>
            </w:pPr>
            <w:r w:rsidRPr="001521C4">
              <w:rPr>
                <w:rFonts w:ascii="Arial" w:hAnsi="Arial" w:cs="Arial"/>
                <w:b/>
                <w:bCs/>
                <w:color w:val="000000"/>
                <w:sz w:val="17"/>
                <w:szCs w:val="17"/>
                <w14:numForm w14:val="lining"/>
              </w:rPr>
              <w:t>33,499,724,854</w:t>
            </w:r>
          </w:p>
        </w:tc>
        <w:tc>
          <w:tcPr>
            <w:tcW w:w="2180" w:type="dxa"/>
            <w:tcBorders>
              <w:top w:val="single" w:sz="4" w:space="0" w:color="auto"/>
              <w:left w:val="nil"/>
              <w:bottom w:val="single" w:sz="4" w:space="0" w:color="auto"/>
              <w:right w:val="single" w:sz="4" w:space="0" w:color="auto"/>
            </w:tcBorders>
            <w:shd w:val="clear" w:color="000000" w:fill="FFFFFF"/>
            <w:noWrap/>
            <w:vAlign w:val="center"/>
            <w:hideMark/>
          </w:tcPr>
          <w:p w:rsidR="001521C4" w:rsidRPr="002D70DA" w:rsidRDefault="001521C4" w:rsidP="001521C4">
            <w:pPr>
              <w:jc w:val="right"/>
              <w:rPr>
                <w:rFonts w:ascii="Arial" w:hAnsi="Arial" w:cs="Arial"/>
                <w:b/>
                <w:bCs/>
                <w:color w:val="000000"/>
                <w:sz w:val="17"/>
                <w:szCs w:val="17"/>
              </w:rPr>
            </w:pPr>
            <w:r w:rsidRPr="00C75A27">
              <w:rPr>
                <w:rFonts w:ascii="Arial" w:hAnsi="Arial" w:cs="Arial"/>
                <w:b/>
                <w:bCs/>
                <w:color w:val="000000"/>
                <w:sz w:val="17"/>
                <w:szCs w:val="17"/>
                <w14:numForm w14:val="lining"/>
              </w:rPr>
              <w:t>30,832,811,549</w:t>
            </w:r>
          </w:p>
        </w:tc>
      </w:tr>
    </w:tbl>
    <w:p w:rsidR="00843A2B" w:rsidRDefault="00843A2B">
      <w:pPr>
        <w:rPr>
          <w:rFonts w:ascii="Arial" w:eastAsia="Calibri" w:hAnsi="Arial" w:cs="Arial"/>
          <w:spacing w:val="-1"/>
          <w:sz w:val="17"/>
          <w:szCs w:val="17"/>
        </w:rPr>
      </w:pPr>
    </w:p>
    <w:p w:rsidR="00BF6455" w:rsidRDefault="00510FDC" w:rsidP="00BF645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BF6455">
      <w:pPr>
        <w:autoSpaceDE w:val="0"/>
        <w:autoSpaceDN w:val="0"/>
        <w:adjustRightInd w:val="0"/>
        <w:spacing w:before="240" w:after="120"/>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10FD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0FDC" w:rsidRPr="002D70DA" w:rsidRDefault="00510FDC"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0FDC"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0FDC"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6C5E04" w:rsidRDefault="00BF6455" w:rsidP="00BF6455">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b/>
                <w:sz w:val="17"/>
                <w:szCs w:val="17"/>
              </w:rPr>
            </w:pPr>
            <w:r w:rsidRPr="00BF6455">
              <w:rPr>
                <w:rFonts w:ascii="Arial" w:hAnsi="Arial" w:cs="Arial"/>
                <w:b/>
                <w:sz w:val="17"/>
                <w:szCs w:val="17"/>
              </w:rPr>
              <w:t>2,241,459,857</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b/>
                <w:sz w:val="17"/>
                <w:szCs w:val="17"/>
              </w:rPr>
            </w:pPr>
            <w:r w:rsidRPr="008824AC">
              <w:rPr>
                <w:rFonts w:ascii="Arial" w:hAnsi="Arial" w:cs="Arial"/>
                <w:b/>
                <w:sz w:val="17"/>
                <w:szCs w:val="17"/>
              </w:rPr>
              <w:t>2,194,987,462</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6C5E04" w:rsidRDefault="00BF6455" w:rsidP="00BF6455">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b/>
                <w:sz w:val="17"/>
                <w:szCs w:val="17"/>
              </w:rPr>
            </w:pPr>
            <w:r w:rsidRPr="00BF6455">
              <w:rPr>
                <w:rFonts w:ascii="Arial" w:hAnsi="Arial" w:cs="Arial"/>
                <w:b/>
                <w:sz w:val="17"/>
                <w:szCs w:val="17"/>
              </w:rPr>
              <w:t>663,177,047</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b/>
                <w:sz w:val="17"/>
                <w:szCs w:val="17"/>
              </w:rPr>
            </w:pPr>
            <w:r w:rsidRPr="008824AC">
              <w:rPr>
                <w:rFonts w:ascii="Arial" w:hAnsi="Arial" w:cs="Arial"/>
                <w:b/>
                <w:sz w:val="17"/>
                <w:szCs w:val="17"/>
              </w:rPr>
              <w:t>677,703,019</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6C5E04" w:rsidRDefault="00BF6455" w:rsidP="00BF6455">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b/>
                <w:sz w:val="17"/>
                <w:szCs w:val="17"/>
              </w:rPr>
            </w:pPr>
            <w:r w:rsidRPr="00BF6455">
              <w:rPr>
                <w:rFonts w:ascii="Arial" w:hAnsi="Arial" w:cs="Arial"/>
                <w:b/>
                <w:sz w:val="17"/>
                <w:szCs w:val="17"/>
              </w:rPr>
              <w:t>143,674,900</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b/>
                <w:sz w:val="17"/>
                <w:szCs w:val="17"/>
              </w:rPr>
            </w:pPr>
            <w:r w:rsidRPr="008824AC">
              <w:rPr>
                <w:rFonts w:ascii="Arial" w:hAnsi="Arial" w:cs="Arial"/>
                <w:b/>
                <w:sz w:val="17"/>
                <w:szCs w:val="17"/>
              </w:rPr>
              <w:t>138,918,759</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6C5E04" w:rsidRDefault="00BF6455" w:rsidP="00BF6455">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b/>
                <w:sz w:val="17"/>
                <w:szCs w:val="17"/>
              </w:rPr>
            </w:pPr>
            <w:r>
              <w:rPr>
                <w:rFonts w:ascii="Arial" w:hAnsi="Arial" w:cs="Arial"/>
                <w:b/>
                <w:sz w:val="17"/>
                <w:szCs w:val="17"/>
              </w:rPr>
              <w:t>782,814,347</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b/>
                <w:sz w:val="17"/>
                <w:szCs w:val="17"/>
              </w:rPr>
            </w:pPr>
            <w:r w:rsidRPr="008824AC">
              <w:rPr>
                <w:rFonts w:ascii="Arial" w:hAnsi="Arial" w:cs="Arial"/>
                <w:b/>
                <w:sz w:val="17"/>
                <w:szCs w:val="17"/>
              </w:rPr>
              <w:t>542,282,036</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9D4479" w:rsidRDefault="00BF6455" w:rsidP="00BF6455">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sz w:val="17"/>
                <w:szCs w:val="17"/>
              </w:rPr>
            </w:pPr>
            <w:r w:rsidRPr="00BF6455">
              <w:rPr>
                <w:rFonts w:ascii="Arial" w:hAnsi="Arial" w:cs="Arial"/>
                <w:sz w:val="17"/>
                <w:szCs w:val="17"/>
              </w:rPr>
              <w:t>11,138,000</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sz w:val="17"/>
                <w:szCs w:val="17"/>
              </w:rPr>
            </w:pPr>
            <w:r w:rsidRPr="008824AC">
              <w:rPr>
                <w:rFonts w:ascii="Arial" w:hAnsi="Arial" w:cs="Arial"/>
                <w:sz w:val="17"/>
                <w:szCs w:val="17"/>
              </w:rPr>
              <w:t>10,177,218</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9D4479" w:rsidRDefault="00BF6455" w:rsidP="00BF6455">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sz w:val="17"/>
                <w:szCs w:val="17"/>
              </w:rPr>
            </w:pPr>
            <w:r w:rsidRPr="00BF6455">
              <w:rPr>
                <w:rFonts w:ascii="Arial" w:hAnsi="Arial" w:cs="Arial"/>
                <w:sz w:val="17"/>
                <w:szCs w:val="17"/>
              </w:rPr>
              <w:t>23,377,708</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sz w:val="17"/>
                <w:szCs w:val="17"/>
              </w:rPr>
            </w:pPr>
            <w:r w:rsidRPr="008824AC">
              <w:rPr>
                <w:rFonts w:ascii="Arial" w:hAnsi="Arial" w:cs="Arial"/>
                <w:sz w:val="17"/>
                <w:szCs w:val="17"/>
              </w:rPr>
              <w:t>16,246,970</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9D4479" w:rsidRDefault="00BF6455" w:rsidP="00BF6455">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sz w:val="17"/>
                <w:szCs w:val="17"/>
              </w:rPr>
            </w:pPr>
            <w:r w:rsidRPr="00BF6455">
              <w:rPr>
                <w:rFonts w:ascii="Arial" w:hAnsi="Arial" w:cs="Arial"/>
                <w:sz w:val="17"/>
                <w:szCs w:val="17"/>
              </w:rPr>
              <w:t>60,657,277</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sz w:val="17"/>
                <w:szCs w:val="17"/>
              </w:rPr>
            </w:pPr>
            <w:r w:rsidRPr="008824AC">
              <w:rPr>
                <w:rFonts w:ascii="Arial" w:hAnsi="Arial" w:cs="Arial"/>
                <w:sz w:val="17"/>
                <w:szCs w:val="17"/>
              </w:rPr>
              <w:t>64,219,415</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9D4479" w:rsidRDefault="00BF6455" w:rsidP="00BF6455">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sz w:val="17"/>
                <w:szCs w:val="17"/>
              </w:rPr>
            </w:pPr>
            <w:r w:rsidRPr="00BF6455">
              <w:rPr>
                <w:rFonts w:ascii="Arial" w:hAnsi="Arial" w:cs="Arial"/>
                <w:sz w:val="17"/>
                <w:szCs w:val="17"/>
              </w:rPr>
              <w:t>572,321,001</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sz w:val="17"/>
                <w:szCs w:val="17"/>
              </w:rPr>
            </w:pPr>
            <w:r w:rsidRPr="008824AC">
              <w:rPr>
                <w:rFonts w:ascii="Arial" w:hAnsi="Arial" w:cs="Arial"/>
                <w:sz w:val="17"/>
                <w:szCs w:val="17"/>
              </w:rPr>
              <w:t>357,537,635</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9D4479" w:rsidRDefault="00BF6455" w:rsidP="00BF6455">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sz w:val="17"/>
                <w:szCs w:val="17"/>
              </w:rPr>
            </w:pPr>
            <w:r w:rsidRPr="00BF6455">
              <w:rPr>
                <w:rFonts w:ascii="Arial" w:hAnsi="Arial" w:cs="Arial"/>
                <w:sz w:val="17"/>
                <w:szCs w:val="17"/>
              </w:rPr>
              <w:t>55,664,132</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sz w:val="17"/>
                <w:szCs w:val="17"/>
              </w:rPr>
            </w:pPr>
            <w:r w:rsidRPr="008824AC">
              <w:rPr>
                <w:rFonts w:ascii="Arial" w:hAnsi="Arial" w:cs="Arial"/>
                <w:sz w:val="17"/>
                <w:szCs w:val="17"/>
              </w:rPr>
              <w:t>44,107,495</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9D4479" w:rsidRDefault="00BF6455" w:rsidP="00BF6455">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sz w:val="17"/>
                <w:szCs w:val="17"/>
              </w:rPr>
            </w:pPr>
            <w:r w:rsidRPr="00BF6455">
              <w:rPr>
                <w:rFonts w:ascii="Arial" w:hAnsi="Arial" w:cs="Arial"/>
                <w:sz w:val="17"/>
                <w:szCs w:val="17"/>
              </w:rPr>
              <w:t>11,577,930</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sz w:val="17"/>
                <w:szCs w:val="17"/>
              </w:rPr>
            </w:pPr>
            <w:r w:rsidRPr="008824AC">
              <w:rPr>
                <w:rFonts w:ascii="Arial" w:hAnsi="Arial" w:cs="Arial"/>
                <w:sz w:val="17"/>
                <w:szCs w:val="17"/>
              </w:rPr>
              <w:t>9,914,191</w:t>
            </w:r>
          </w:p>
        </w:tc>
      </w:tr>
      <w:tr w:rsidR="00BF645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F6455" w:rsidRPr="009D4479" w:rsidRDefault="00BF6455" w:rsidP="00BF6455">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sz w:val="17"/>
                <w:szCs w:val="17"/>
              </w:rPr>
            </w:pPr>
            <w:r w:rsidRPr="00BF6455">
              <w:rPr>
                <w:rFonts w:ascii="Arial" w:hAnsi="Arial" w:cs="Arial"/>
                <w:sz w:val="17"/>
                <w:szCs w:val="17"/>
              </w:rPr>
              <w:t>25,861,264</w:t>
            </w:r>
          </w:p>
        </w:tc>
        <w:tc>
          <w:tcPr>
            <w:tcW w:w="2180" w:type="dxa"/>
            <w:tcBorders>
              <w:top w:val="single" w:sz="4" w:space="0" w:color="auto"/>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sz w:val="17"/>
                <w:szCs w:val="17"/>
              </w:rPr>
            </w:pPr>
            <w:r w:rsidRPr="008824AC">
              <w:rPr>
                <w:rFonts w:ascii="Arial" w:hAnsi="Arial" w:cs="Arial"/>
                <w:sz w:val="17"/>
                <w:szCs w:val="17"/>
              </w:rPr>
              <w:t>20,394,516</w:t>
            </w:r>
          </w:p>
        </w:tc>
      </w:tr>
      <w:tr w:rsidR="00BF6455"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F6455" w:rsidRPr="009D4479" w:rsidRDefault="00BF6455" w:rsidP="00BF6455">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BF6455" w:rsidRPr="00BF6455" w:rsidRDefault="00BF6455" w:rsidP="00BF6455">
            <w:pPr>
              <w:jc w:val="right"/>
              <w:rPr>
                <w:rFonts w:ascii="Arial" w:hAnsi="Arial" w:cs="Arial"/>
                <w:sz w:val="17"/>
                <w:szCs w:val="17"/>
              </w:rPr>
            </w:pPr>
            <w:r w:rsidRPr="00BF6455">
              <w:rPr>
                <w:rFonts w:ascii="Arial" w:hAnsi="Arial" w:cs="Arial"/>
                <w:sz w:val="17"/>
                <w:szCs w:val="17"/>
              </w:rPr>
              <w:t>22,217,037</w:t>
            </w:r>
          </w:p>
        </w:tc>
        <w:tc>
          <w:tcPr>
            <w:tcW w:w="2180" w:type="dxa"/>
            <w:tcBorders>
              <w:top w:val="nil"/>
              <w:left w:val="nil"/>
              <w:bottom w:val="single" w:sz="4" w:space="0" w:color="auto"/>
              <w:right w:val="single" w:sz="4" w:space="0" w:color="auto"/>
            </w:tcBorders>
            <w:shd w:val="clear" w:color="auto" w:fill="auto"/>
          </w:tcPr>
          <w:p w:rsidR="00BF6455" w:rsidRPr="008824AC" w:rsidRDefault="00BF6455" w:rsidP="00BF6455">
            <w:pPr>
              <w:jc w:val="right"/>
              <w:rPr>
                <w:rFonts w:ascii="Arial" w:hAnsi="Arial" w:cs="Arial"/>
                <w:sz w:val="17"/>
                <w:szCs w:val="17"/>
              </w:rPr>
            </w:pPr>
            <w:r w:rsidRPr="008824AC">
              <w:rPr>
                <w:rFonts w:ascii="Arial" w:hAnsi="Arial" w:cs="Arial"/>
                <w:sz w:val="17"/>
                <w:szCs w:val="17"/>
              </w:rPr>
              <w:t>19,684,596</w:t>
            </w:r>
          </w:p>
        </w:tc>
      </w:tr>
      <w:tr w:rsidR="00BF6455"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BF6455" w:rsidRPr="002D70DA" w:rsidRDefault="00BF6455" w:rsidP="00BF645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BF6455" w:rsidRPr="005B5FB9" w:rsidRDefault="00BF6455" w:rsidP="00BF6455">
            <w:pPr>
              <w:jc w:val="right"/>
              <w:rPr>
                <w:rFonts w:ascii="Arial" w:hAnsi="Arial" w:cs="Arial"/>
                <w:b/>
                <w:bCs/>
                <w:color w:val="000000"/>
                <w:sz w:val="17"/>
                <w:szCs w:val="17"/>
                <w14:numForm w14:val="lining"/>
              </w:rPr>
            </w:pPr>
            <w:r w:rsidRPr="00BF6455">
              <w:rPr>
                <w:rFonts w:ascii="Arial" w:hAnsi="Arial" w:cs="Arial"/>
                <w:b/>
                <w:bCs/>
                <w:color w:val="000000"/>
                <w:sz w:val="17"/>
                <w:szCs w:val="17"/>
                <w14:numForm w14:val="lining"/>
              </w:rPr>
              <w:t>3,831,126,151</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F6455" w:rsidRPr="005B5FB9" w:rsidRDefault="00BF6455" w:rsidP="00BF6455">
            <w:pPr>
              <w:jc w:val="right"/>
              <w:rPr>
                <w:rFonts w:ascii="Arial" w:hAnsi="Arial" w:cs="Arial"/>
                <w:b/>
                <w:bCs/>
                <w:color w:val="000000"/>
                <w:sz w:val="17"/>
                <w:szCs w:val="17"/>
                <w14:numForm w14:val="lining"/>
              </w:rPr>
            </w:pPr>
            <w:r w:rsidRPr="008824AC">
              <w:rPr>
                <w:rFonts w:ascii="Arial" w:hAnsi="Arial" w:cs="Arial"/>
                <w:b/>
                <w:bCs/>
                <w:color w:val="000000"/>
                <w:sz w:val="17"/>
                <w:szCs w:val="17"/>
                <w14:numForm w14:val="lining"/>
              </w:rPr>
              <w:t>3,553,891,276</w:t>
            </w:r>
          </w:p>
        </w:tc>
      </w:tr>
    </w:tbl>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337D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337D3" w:rsidRPr="002D70DA" w:rsidRDefault="000337D3"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37D3"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37D3"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6C5E04" w:rsidRDefault="00A858BE" w:rsidP="00A858BE">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b/>
                <w:sz w:val="17"/>
                <w:szCs w:val="17"/>
              </w:rPr>
            </w:pPr>
            <w:r w:rsidRPr="00A858BE">
              <w:rPr>
                <w:rFonts w:ascii="Arial" w:hAnsi="Arial" w:cs="Arial"/>
                <w:b/>
                <w:sz w:val="17"/>
                <w:szCs w:val="17"/>
              </w:rPr>
              <w:t>378,976,910</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b/>
                <w:sz w:val="17"/>
                <w:szCs w:val="17"/>
              </w:rPr>
            </w:pPr>
            <w:r w:rsidRPr="000337D3">
              <w:rPr>
                <w:rFonts w:ascii="Arial" w:hAnsi="Arial" w:cs="Arial"/>
                <w:b/>
                <w:sz w:val="17"/>
                <w:szCs w:val="17"/>
              </w:rPr>
              <w:t>241,725,694</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6C5E04" w:rsidRDefault="00A858BE" w:rsidP="00A858BE">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b/>
                <w:sz w:val="17"/>
                <w:szCs w:val="17"/>
              </w:rPr>
            </w:pPr>
            <w:r w:rsidRPr="00A858BE">
              <w:rPr>
                <w:rFonts w:ascii="Arial" w:hAnsi="Arial" w:cs="Arial"/>
                <w:b/>
                <w:sz w:val="17"/>
                <w:szCs w:val="17"/>
              </w:rPr>
              <w:t>9,121,122</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b/>
                <w:sz w:val="17"/>
                <w:szCs w:val="17"/>
              </w:rPr>
            </w:pPr>
            <w:r w:rsidRPr="000337D3">
              <w:rPr>
                <w:rFonts w:ascii="Arial" w:hAnsi="Arial" w:cs="Arial"/>
                <w:b/>
                <w:sz w:val="17"/>
                <w:szCs w:val="17"/>
              </w:rPr>
              <w:t>7,694,772</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6C5E04" w:rsidRDefault="00A858BE" w:rsidP="00A858BE">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b/>
                <w:sz w:val="17"/>
                <w:szCs w:val="17"/>
              </w:rPr>
            </w:pPr>
            <w:r w:rsidRPr="00A858BE">
              <w:rPr>
                <w:rFonts w:ascii="Arial" w:hAnsi="Arial" w:cs="Arial"/>
                <w:b/>
                <w:sz w:val="17"/>
                <w:szCs w:val="17"/>
              </w:rPr>
              <w:t>7,439,925</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b/>
                <w:sz w:val="17"/>
                <w:szCs w:val="17"/>
              </w:rPr>
            </w:pPr>
            <w:r w:rsidRPr="000337D3">
              <w:rPr>
                <w:rFonts w:ascii="Arial" w:hAnsi="Arial" w:cs="Arial"/>
                <w:b/>
                <w:sz w:val="17"/>
                <w:szCs w:val="17"/>
              </w:rPr>
              <w:t>3,021,654</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6C5E04" w:rsidRDefault="00A858BE" w:rsidP="00A858BE">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b/>
                <w:sz w:val="17"/>
                <w:szCs w:val="17"/>
              </w:rPr>
            </w:pPr>
            <w:r>
              <w:rPr>
                <w:rFonts w:ascii="Arial" w:hAnsi="Arial" w:cs="Arial"/>
                <w:b/>
                <w:sz w:val="17"/>
                <w:szCs w:val="17"/>
              </w:rPr>
              <w:t>49,054,354</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b/>
                <w:sz w:val="17"/>
                <w:szCs w:val="17"/>
              </w:rPr>
            </w:pPr>
            <w:r w:rsidRPr="000337D3">
              <w:rPr>
                <w:rFonts w:ascii="Arial" w:hAnsi="Arial" w:cs="Arial"/>
                <w:b/>
                <w:sz w:val="17"/>
                <w:szCs w:val="17"/>
              </w:rPr>
              <w:t>44,261,329</w:t>
            </w:r>
          </w:p>
        </w:tc>
      </w:tr>
      <w:tr w:rsidR="00A858BE" w:rsidRPr="002D70DA" w:rsidTr="00843A2B">
        <w:trPr>
          <w:trHeight w:val="265"/>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sz w:val="17"/>
                <w:szCs w:val="17"/>
              </w:rPr>
            </w:pPr>
            <w:r w:rsidRPr="00A858BE">
              <w:rPr>
                <w:rFonts w:ascii="Arial" w:hAnsi="Arial" w:cs="Arial"/>
                <w:sz w:val="17"/>
                <w:szCs w:val="17"/>
              </w:rPr>
              <w:t>601,195</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sz w:val="17"/>
                <w:szCs w:val="17"/>
              </w:rPr>
            </w:pPr>
            <w:r w:rsidRPr="000337D3">
              <w:rPr>
                <w:rFonts w:ascii="Arial" w:hAnsi="Arial" w:cs="Arial"/>
                <w:sz w:val="17"/>
                <w:szCs w:val="17"/>
              </w:rPr>
              <w:t>837,672</w:t>
            </w:r>
          </w:p>
        </w:tc>
      </w:tr>
      <w:tr w:rsidR="00A858BE" w:rsidRPr="002D70DA" w:rsidTr="00843A2B">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sz w:val="17"/>
                <w:szCs w:val="17"/>
              </w:rPr>
            </w:pPr>
            <w:r w:rsidRPr="00A858BE">
              <w:rPr>
                <w:rFonts w:ascii="Arial" w:hAnsi="Arial" w:cs="Arial"/>
                <w:sz w:val="17"/>
                <w:szCs w:val="17"/>
              </w:rPr>
              <w:t>939,294</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sz w:val="17"/>
                <w:szCs w:val="17"/>
              </w:rPr>
            </w:pPr>
            <w:r w:rsidRPr="000337D3">
              <w:rPr>
                <w:rFonts w:ascii="Arial" w:hAnsi="Arial" w:cs="Arial"/>
                <w:sz w:val="17"/>
                <w:szCs w:val="17"/>
              </w:rPr>
              <w:t>1,570,311</w:t>
            </w:r>
          </w:p>
        </w:tc>
      </w:tr>
      <w:tr w:rsidR="00A858BE" w:rsidRPr="002D70DA" w:rsidTr="00843A2B">
        <w:trPr>
          <w:trHeight w:val="231"/>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sz w:val="17"/>
                <w:szCs w:val="17"/>
              </w:rPr>
            </w:pPr>
            <w:r w:rsidRPr="00A858BE">
              <w:rPr>
                <w:rFonts w:ascii="Arial" w:hAnsi="Arial" w:cs="Arial"/>
                <w:sz w:val="17"/>
                <w:szCs w:val="17"/>
              </w:rPr>
              <w:t>1,795,128</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sz w:val="17"/>
                <w:szCs w:val="17"/>
              </w:rPr>
            </w:pPr>
            <w:r w:rsidRPr="000337D3">
              <w:rPr>
                <w:rFonts w:ascii="Arial" w:hAnsi="Arial" w:cs="Arial"/>
                <w:sz w:val="17"/>
                <w:szCs w:val="17"/>
              </w:rPr>
              <w:t>1,201,597</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sz w:val="17"/>
                <w:szCs w:val="17"/>
              </w:rPr>
            </w:pPr>
            <w:r w:rsidRPr="00A858BE">
              <w:rPr>
                <w:rFonts w:ascii="Arial" w:hAnsi="Arial" w:cs="Arial"/>
                <w:sz w:val="17"/>
                <w:szCs w:val="17"/>
              </w:rPr>
              <w:t>41,107,354</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sz w:val="17"/>
                <w:szCs w:val="17"/>
              </w:rPr>
            </w:pPr>
            <w:r w:rsidRPr="000337D3">
              <w:rPr>
                <w:rFonts w:ascii="Arial" w:hAnsi="Arial" w:cs="Arial"/>
                <w:sz w:val="17"/>
                <w:szCs w:val="17"/>
              </w:rPr>
              <w:t>35,791,070</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sz w:val="17"/>
                <w:szCs w:val="17"/>
              </w:rPr>
            </w:pPr>
            <w:r w:rsidRPr="00A858BE">
              <w:rPr>
                <w:rFonts w:ascii="Arial" w:hAnsi="Arial" w:cs="Arial"/>
                <w:sz w:val="17"/>
                <w:szCs w:val="17"/>
              </w:rPr>
              <w:t>3,211,955</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sz w:val="17"/>
                <w:szCs w:val="17"/>
              </w:rPr>
            </w:pPr>
            <w:r w:rsidRPr="000337D3">
              <w:rPr>
                <w:rFonts w:ascii="Arial" w:hAnsi="Arial" w:cs="Arial"/>
                <w:sz w:val="17"/>
                <w:szCs w:val="17"/>
              </w:rPr>
              <w:t>3,913,143</w:t>
            </w:r>
          </w:p>
        </w:tc>
      </w:tr>
      <w:tr w:rsidR="00A858BE" w:rsidRPr="002D70DA" w:rsidTr="00843A2B">
        <w:trPr>
          <w:trHeight w:val="6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sz w:val="17"/>
                <w:szCs w:val="17"/>
              </w:rPr>
            </w:pPr>
            <w:r w:rsidRPr="00A858BE">
              <w:rPr>
                <w:rFonts w:ascii="Arial" w:hAnsi="Arial" w:cs="Arial"/>
                <w:sz w:val="17"/>
                <w:szCs w:val="17"/>
              </w:rPr>
              <w:t>404,113</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sz w:val="17"/>
                <w:szCs w:val="17"/>
              </w:rPr>
            </w:pPr>
            <w:r w:rsidRPr="000337D3">
              <w:rPr>
                <w:rFonts w:ascii="Arial" w:hAnsi="Arial" w:cs="Arial"/>
                <w:sz w:val="17"/>
                <w:szCs w:val="17"/>
              </w:rPr>
              <w:t>196,251</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sz w:val="17"/>
                <w:szCs w:val="17"/>
              </w:rPr>
            </w:pPr>
            <w:r w:rsidRPr="00A858BE">
              <w:rPr>
                <w:rFonts w:ascii="Arial" w:hAnsi="Arial" w:cs="Arial"/>
                <w:sz w:val="17"/>
                <w:szCs w:val="17"/>
              </w:rPr>
              <w:t>857,298</w:t>
            </w:r>
          </w:p>
        </w:tc>
        <w:tc>
          <w:tcPr>
            <w:tcW w:w="2180" w:type="dxa"/>
            <w:tcBorders>
              <w:top w:val="single" w:sz="4" w:space="0" w:color="auto"/>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sz w:val="17"/>
                <w:szCs w:val="17"/>
              </w:rPr>
            </w:pPr>
            <w:r w:rsidRPr="000337D3">
              <w:rPr>
                <w:rFonts w:ascii="Arial" w:hAnsi="Arial" w:cs="Arial"/>
                <w:sz w:val="17"/>
                <w:szCs w:val="17"/>
              </w:rPr>
              <w:t>524,056</w:t>
            </w:r>
          </w:p>
        </w:tc>
      </w:tr>
      <w:tr w:rsidR="00A858BE"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A858BE" w:rsidRPr="00A858BE" w:rsidRDefault="00A858BE" w:rsidP="00A858BE">
            <w:pPr>
              <w:jc w:val="right"/>
              <w:rPr>
                <w:rFonts w:ascii="Arial" w:hAnsi="Arial" w:cs="Arial"/>
                <w:sz w:val="17"/>
                <w:szCs w:val="17"/>
              </w:rPr>
            </w:pPr>
            <w:r w:rsidRPr="00A858BE">
              <w:rPr>
                <w:rFonts w:ascii="Arial" w:hAnsi="Arial" w:cs="Arial"/>
                <w:sz w:val="17"/>
                <w:szCs w:val="17"/>
              </w:rPr>
              <w:t>129,017</w:t>
            </w:r>
          </w:p>
        </w:tc>
        <w:tc>
          <w:tcPr>
            <w:tcW w:w="2180" w:type="dxa"/>
            <w:tcBorders>
              <w:top w:val="nil"/>
              <w:left w:val="nil"/>
              <w:bottom w:val="single" w:sz="4" w:space="0" w:color="auto"/>
              <w:right w:val="single" w:sz="4" w:space="0" w:color="auto"/>
            </w:tcBorders>
            <w:shd w:val="clear" w:color="auto" w:fill="auto"/>
          </w:tcPr>
          <w:p w:rsidR="00A858BE" w:rsidRPr="000337D3" w:rsidRDefault="00A858BE" w:rsidP="00A858BE">
            <w:pPr>
              <w:jc w:val="right"/>
              <w:rPr>
                <w:rFonts w:ascii="Arial" w:hAnsi="Arial" w:cs="Arial"/>
                <w:sz w:val="17"/>
                <w:szCs w:val="17"/>
              </w:rPr>
            </w:pPr>
            <w:r w:rsidRPr="000337D3">
              <w:rPr>
                <w:rFonts w:ascii="Arial" w:hAnsi="Arial" w:cs="Arial"/>
                <w:sz w:val="17"/>
                <w:szCs w:val="17"/>
              </w:rPr>
              <w:t>227,229</w:t>
            </w:r>
          </w:p>
        </w:tc>
      </w:tr>
      <w:tr w:rsidR="00A858BE"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A858BE" w:rsidRPr="002D70DA" w:rsidRDefault="00A858BE" w:rsidP="00A858B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A858BE" w:rsidRPr="005B5FB9" w:rsidRDefault="00A858BE" w:rsidP="00A858BE">
            <w:pPr>
              <w:jc w:val="right"/>
              <w:rPr>
                <w:rFonts w:ascii="Arial" w:hAnsi="Arial" w:cs="Arial"/>
                <w:b/>
                <w:bCs/>
                <w:color w:val="000000"/>
                <w:sz w:val="17"/>
                <w:szCs w:val="17"/>
                <w14:numForm w14:val="lining"/>
              </w:rPr>
            </w:pPr>
            <w:r w:rsidRPr="00A858BE">
              <w:rPr>
                <w:rFonts w:ascii="Arial" w:hAnsi="Arial" w:cs="Arial"/>
                <w:b/>
                <w:bCs/>
                <w:color w:val="000000"/>
                <w:sz w:val="17"/>
                <w:szCs w:val="17"/>
                <w14:numForm w14:val="lining"/>
              </w:rPr>
              <w:t>444,583,311</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A858BE" w:rsidRPr="005B5FB9" w:rsidRDefault="00A858BE" w:rsidP="00A858BE">
            <w:pPr>
              <w:jc w:val="right"/>
              <w:rPr>
                <w:rFonts w:ascii="Arial" w:hAnsi="Arial" w:cs="Arial"/>
                <w:b/>
                <w:bCs/>
                <w:color w:val="000000"/>
                <w:sz w:val="17"/>
                <w:szCs w:val="17"/>
                <w14:numForm w14:val="lining"/>
              </w:rPr>
            </w:pPr>
            <w:r w:rsidRPr="000337D3">
              <w:rPr>
                <w:rFonts w:ascii="Arial" w:hAnsi="Arial" w:cs="Arial"/>
                <w:b/>
                <w:bCs/>
                <w:color w:val="000000"/>
                <w:sz w:val="17"/>
                <w:szCs w:val="17"/>
                <w14:numForm w14:val="lining"/>
              </w:rPr>
              <w:t>296,703,449</w:t>
            </w:r>
          </w:p>
        </w:tc>
      </w:tr>
    </w:tbl>
    <w:p w:rsidR="00510FDC" w:rsidRDefault="00510FDC" w:rsidP="00EE16EB">
      <w:pPr>
        <w:spacing w:before="80" w:line="250" w:lineRule="exact"/>
        <w:ind w:left="709"/>
        <w:jc w:val="both"/>
        <w:rPr>
          <w:rFonts w:ascii="Arial" w:eastAsia="Calibri" w:hAnsi="Arial" w:cs="Arial"/>
          <w:spacing w:val="-1"/>
          <w:sz w:val="17"/>
          <w:szCs w:val="17"/>
        </w:rPr>
      </w:pPr>
    </w:p>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165BD"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165BD" w:rsidRPr="002D70DA" w:rsidRDefault="002165BD"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165BD"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165BD" w:rsidRPr="002D70DA" w:rsidRDefault="00582811"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6C5E04" w:rsidRDefault="00A858BE" w:rsidP="00A858BE">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b/>
                <w:sz w:val="17"/>
                <w:szCs w:val="17"/>
              </w:rPr>
            </w:pPr>
            <w:r w:rsidRPr="003F5DDB">
              <w:rPr>
                <w:rFonts w:ascii="Arial" w:hAnsi="Arial" w:cs="Arial"/>
                <w:b/>
                <w:sz w:val="17"/>
                <w:szCs w:val="17"/>
              </w:rPr>
              <w:t>1,277,010,573</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b/>
                <w:sz w:val="17"/>
                <w:szCs w:val="17"/>
              </w:rPr>
            </w:pPr>
            <w:r w:rsidRPr="00E85CA7">
              <w:rPr>
                <w:rFonts w:ascii="Arial" w:hAnsi="Arial" w:cs="Arial"/>
                <w:b/>
                <w:sz w:val="17"/>
                <w:szCs w:val="17"/>
              </w:rPr>
              <w:t>990,200,900</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6C5E04" w:rsidRDefault="00A858BE" w:rsidP="00A858BE">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b/>
                <w:sz w:val="17"/>
                <w:szCs w:val="17"/>
              </w:rPr>
            </w:pPr>
            <w:r w:rsidRPr="003F5DDB">
              <w:rPr>
                <w:rFonts w:ascii="Arial" w:hAnsi="Arial" w:cs="Arial"/>
                <w:b/>
                <w:sz w:val="17"/>
                <w:szCs w:val="17"/>
              </w:rPr>
              <w:t>44,701,338</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b/>
                <w:sz w:val="17"/>
                <w:szCs w:val="17"/>
              </w:rPr>
            </w:pPr>
            <w:r w:rsidRPr="00E85CA7">
              <w:rPr>
                <w:rFonts w:ascii="Arial" w:hAnsi="Arial" w:cs="Arial"/>
                <w:b/>
                <w:sz w:val="17"/>
                <w:szCs w:val="17"/>
              </w:rPr>
              <w:t>43,115,072</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6C5E04" w:rsidRDefault="00A858BE" w:rsidP="00A858BE">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b/>
                <w:sz w:val="17"/>
                <w:szCs w:val="17"/>
              </w:rPr>
            </w:pPr>
            <w:r w:rsidRPr="003F5DDB">
              <w:rPr>
                <w:rFonts w:ascii="Arial" w:hAnsi="Arial" w:cs="Arial"/>
                <w:b/>
                <w:sz w:val="17"/>
                <w:szCs w:val="17"/>
              </w:rPr>
              <w:t>46,556,565</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b/>
                <w:sz w:val="17"/>
                <w:szCs w:val="17"/>
              </w:rPr>
            </w:pPr>
            <w:r w:rsidRPr="00E85CA7">
              <w:rPr>
                <w:rFonts w:ascii="Arial" w:hAnsi="Arial" w:cs="Arial"/>
                <w:b/>
                <w:sz w:val="17"/>
                <w:szCs w:val="17"/>
              </w:rPr>
              <w:t>50,444,462</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6C5E04" w:rsidRDefault="00A858BE" w:rsidP="00A858BE">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b/>
                <w:sz w:val="17"/>
                <w:szCs w:val="17"/>
              </w:rPr>
            </w:pPr>
            <w:r w:rsidRPr="00E85CA7">
              <w:rPr>
                <w:rFonts w:ascii="Arial" w:hAnsi="Arial" w:cs="Arial"/>
                <w:b/>
                <w:sz w:val="17"/>
                <w:szCs w:val="17"/>
              </w:rPr>
              <w:t>67,477,840</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b/>
                <w:sz w:val="17"/>
                <w:szCs w:val="17"/>
              </w:rPr>
            </w:pPr>
            <w:r w:rsidRPr="00E85CA7">
              <w:rPr>
                <w:rFonts w:ascii="Arial" w:hAnsi="Arial" w:cs="Arial"/>
                <w:b/>
                <w:sz w:val="17"/>
                <w:szCs w:val="17"/>
              </w:rPr>
              <w:t>67,477,840</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sz w:val="17"/>
                <w:szCs w:val="17"/>
              </w:rPr>
            </w:pPr>
            <w:r w:rsidRPr="003F5DDB">
              <w:rPr>
                <w:rFonts w:ascii="Arial" w:hAnsi="Arial" w:cs="Arial"/>
                <w:sz w:val="17"/>
                <w:szCs w:val="17"/>
              </w:rPr>
              <w:t>2,099,075</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sz w:val="17"/>
                <w:szCs w:val="17"/>
              </w:rPr>
            </w:pPr>
            <w:r w:rsidRPr="00E85CA7">
              <w:rPr>
                <w:rFonts w:ascii="Arial" w:hAnsi="Arial" w:cs="Arial"/>
                <w:sz w:val="17"/>
                <w:szCs w:val="17"/>
              </w:rPr>
              <w:t>2,634,520</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sz w:val="17"/>
                <w:szCs w:val="17"/>
              </w:rPr>
            </w:pPr>
            <w:r w:rsidRPr="003F5DDB">
              <w:rPr>
                <w:rFonts w:ascii="Arial" w:hAnsi="Arial" w:cs="Arial"/>
                <w:sz w:val="17"/>
                <w:szCs w:val="17"/>
              </w:rPr>
              <w:t>5,306,211</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sz w:val="17"/>
                <w:szCs w:val="17"/>
              </w:rPr>
            </w:pPr>
            <w:r w:rsidRPr="00E85CA7">
              <w:rPr>
                <w:rFonts w:ascii="Arial" w:hAnsi="Arial" w:cs="Arial"/>
                <w:sz w:val="17"/>
                <w:szCs w:val="17"/>
              </w:rPr>
              <w:t>11,712,482</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sz w:val="17"/>
                <w:szCs w:val="17"/>
              </w:rPr>
            </w:pPr>
            <w:r w:rsidRPr="003F5DDB">
              <w:rPr>
                <w:rFonts w:ascii="Arial" w:hAnsi="Arial" w:cs="Arial"/>
                <w:sz w:val="17"/>
                <w:szCs w:val="17"/>
              </w:rPr>
              <w:t>7,899,198</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sz w:val="17"/>
                <w:szCs w:val="17"/>
              </w:rPr>
            </w:pPr>
            <w:r w:rsidRPr="00E85CA7">
              <w:rPr>
                <w:rFonts w:ascii="Arial" w:hAnsi="Arial" w:cs="Arial"/>
                <w:sz w:val="17"/>
                <w:szCs w:val="17"/>
              </w:rPr>
              <w:t>8,316,949</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sz w:val="17"/>
                <w:szCs w:val="17"/>
              </w:rPr>
            </w:pPr>
            <w:r w:rsidRPr="003F5DDB">
              <w:rPr>
                <w:rFonts w:ascii="Arial" w:hAnsi="Arial" w:cs="Arial"/>
                <w:sz w:val="17"/>
                <w:szCs w:val="17"/>
              </w:rPr>
              <w:t>57,815,346</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sz w:val="17"/>
                <w:szCs w:val="17"/>
              </w:rPr>
            </w:pPr>
            <w:r w:rsidRPr="00E85CA7">
              <w:rPr>
                <w:rFonts w:ascii="Arial" w:hAnsi="Arial" w:cs="Arial"/>
                <w:sz w:val="17"/>
                <w:szCs w:val="17"/>
              </w:rPr>
              <w:t>28,472,552</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sz w:val="17"/>
                <w:szCs w:val="17"/>
              </w:rPr>
            </w:pPr>
            <w:r w:rsidRPr="003F5DDB">
              <w:rPr>
                <w:rFonts w:ascii="Arial" w:hAnsi="Arial" w:cs="Arial"/>
                <w:sz w:val="17"/>
                <w:szCs w:val="17"/>
              </w:rPr>
              <w:t>8,731,322</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sz w:val="17"/>
                <w:szCs w:val="17"/>
              </w:rPr>
            </w:pPr>
            <w:r w:rsidRPr="00E85CA7">
              <w:rPr>
                <w:rFonts w:ascii="Arial" w:hAnsi="Arial" w:cs="Arial"/>
                <w:sz w:val="17"/>
                <w:szCs w:val="17"/>
              </w:rPr>
              <w:t>8,348,755</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sz w:val="17"/>
                <w:szCs w:val="17"/>
              </w:rPr>
            </w:pPr>
            <w:r w:rsidRPr="003F5DDB">
              <w:rPr>
                <w:rFonts w:ascii="Arial" w:hAnsi="Arial" w:cs="Arial"/>
                <w:sz w:val="17"/>
                <w:szCs w:val="17"/>
              </w:rPr>
              <w:t>2,594,906</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sz w:val="17"/>
                <w:szCs w:val="17"/>
              </w:rPr>
            </w:pPr>
            <w:r w:rsidRPr="00E85CA7">
              <w:rPr>
                <w:rFonts w:ascii="Arial" w:hAnsi="Arial" w:cs="Arial"/>
                <w:sz w:val="17"/>
                <w:szCs w:val="17"/>
              </w:rPr>
              <w:t>3,409,961</w:t>
            </w:r>
          </w:p>
        </w:tc>
      </w:tr>
      <w:tr w:rsidR="00A858BE"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sz w:val="17"/>
                <w:szCs w:val="17"/>
              </w:rPr>
            </w:pPr>
            <w:r w:rsidRPr="003F5DDB">
              <w:rPr>
                <w:rFonts w:ascii="Arial" w:hAnsi="Arial" w:cs="Arial"/>
                <w:sz w:val="17"/>
                <w:szCs w:val="17"/>
              </w:rPr>
              <w:t>3,832,861</w:t>
            </w:r>
          </w:p>
        </w:tc>
        <w:tc>
          <w:tcPr>
            <w:tcW w:w="2180" w:type="dxa"/>
            <w:tcBorders>
              <w:top w:val="single" w:sz="4" w:space="0" w:color="auto"/>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sz w:val="17"/>
                <w:szCs w:val="17"/>
              </w:rPr>
            </w:pPr>
            <w:r w:rsidRPr="00E85CA7">
              <w:rPr>
                <w:rFonts w:ascii="Arial" w:hAnsi="Arial" w:cs="Arial"/>
                <w:sz w:val="17"/>
                <w:szCs w:val="17"/>
              </w:rPr>
              <w:t>2,106,724</w:t>
            </w:r>
          </w:p>
        </w:tc>
      </w:tr>
      <w:tr w:rsidR="00A858BE"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A858BE" w:rsidRPr="009D4479" w:rsidRDefault="00A858BE" w:rsidP="00A858BE">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A858BE" w:rsidRPr="003F5DDB" w:rsidRDefault="00A858BE" w:rsidP="003F5DDB">
            <w:pPr>
              <w:jc w:val="right"/>
              <w:rPr>
                <w:rFonts w:ascii="Arial" w:hAnsi="Arial" w:cs="Arial"/>
                <w:sz w:val="17"/>
                <w:szCs w:val="17"/>
              </w:rPr>
            </w:pPr>
            <w:r w:rsidRPr="003F5DDB">
              <w:rPr>
                <w:rFonts w:ascii="Arial" w:hAnsi="Arial" w:cs="Arial"/>
                <w:sz w:val="17"/>
                <w:szCs w:val="17"/>
              </w:rPr>
              <w:t>1,845,135</w:t>
            </w:r>
          </w:p>
        </w:tc>
        <w:tc>
          <w:tcPr>
            <w:tcW w:w="2180" w:type="dxa"/>
            <w:tcBorders>
              <w:top w:val="nil"/>
              <w:left w:val="nil"/>
              <w:bottom w:val="single" w:sz="4" w:space="0" w:color="auto"/>
              <w:right w:val="single" w:sz="4" w:space="0" w:color="auto"/>
            </w:tcBorders>
            <w:shd w:val="clear" w:color="auto" w:fill="auto"/>
          </w:tcPr>
          <w:p w:rsidR="00A858BE" w:rsidRPr="00E85CA7" w:rsidRDefault="00A858BE" w:rsidP="00A858BE">
            <w:pPr>
              <w:jc w:val="right"/>
              <w:rPr>
                <w:rFonts w:ascii="Arial" w:hAnsi="Arial" w:cs="Arial"/>
                <w:sz w:val="17"/>
                <w:szCs w:val="17"/>
              </w:rPr>
            </w:pPr>
            <w:r w:rsidRPr="00E85CA7">
              <w:rPr>
                <w:rFonts w:ascii="Arial" w:hAnsi="Arial" w:cs="Arial"/>
                <w:sz w:val="17"/>
                <w:szCs w:val="17"/>
              </w:rPr>
              <w:t>2,475,896</w:t>
            </w:r>
          </w:p>
        </w:tc>
      </w:tr>
      <w:tr w:rsidR="00A858BE"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A858BE" w:rsidRPr="002D70DA" w:rsidRDefault="00A858BE" w:rsidP="00A858B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A858BE" w:rsidRPr="005B5FB9" w:rsidRDefault="003F5DDB" w:rsidP="00A858BE">
            <w:pPr>
              <w:jc w:val="right"/>
              <w:rPr>
                <w:rFonts w:ascii="Arial" w:hAnsi="Arial" w:cs="Arial"/>
                <w:b/>
                <w:bCs/>
                <w:color w:val="000000"/>
                <w:sz w:val="17"/>
                <w:szCs w:val="17"/>
                <w14:numForm w14:val="lining"/>
              </w:rPr>
            </w:pPr>
            <w:r w:rsidRPr="003F5DDB">
              <w:rPr>
                <w:rFonts w:ascii="Arial" w:hAnsi="Arial" w:cs="Arial"/>
                <w:b/>
                <w:bCs/>
                <w:color w:val="000000"/>
                <w:sz w:val="17"/>
                <w:szCs w:val="17"/>
                <w14:numForm w14:val="lining"/>
              </w:rPr>
              <w:t>1,458,392,530</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A858BE" w:rsidRPr="005B5FB9" w:rsidRDefault="00A858BE" w:rsidP="00A858BE">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1,151,238,274</w:t>
            </w:r>
          </w:p>
        </w:tc>
      </w:tr>
    </w:tbl>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8361C"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8361C" w:rsidRPr="002D70DA" w:rsidRDefault="0058361C" w:rsidP="003F2A8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361C" w:rsidRPr="002D70DA" w:rsidRDefault="00582811" w:rsidP="003F2A8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361C" w:rsidRPr="002D70DA" w:rsidRDefault="00582811" w:rsidP="003F2A85">
            <w:pPr>
              <w:jc w:val="center"/>
              <w:rPr>
                <w:rFonts w:ascii="Arial" w:hAnsi="Arial" w:cs="Arial"/>
                <w:b/>
                <w:bCs/>
                <w:color w:val="000000"/>
                <w:sz w:val="17"/>
                <w:szCs w:val="17"/>
              </w:rPr>
            </w:pPr>
            <w:r>
              <w:rPr>
                <w:rFonts w:ascii="Arial" w:hAnsi="Arial" w:cs="Arial"/>
                <w:b/>
                <w:bCs/>
                <w:color w:val="000000"/>
                <w:sz w:val="17"/>
                <w:szCs w:val="17"/>
              </w:rPr>
              <w:t>2016</w:t>
            </w:r>
          </w:p>
        </w:tc>
      </w:tr>
      <w:tr w:rsidR="00EB785E"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6C5E04" w:rsidRDefault="00EB785E" w:rsidP="00EB785E">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b/>
                <w:sz w:val="17"/>
                <w:szCs w:val="17"/>
              </w:rPr>
            </w:pPr>
            <w:r w:rsidRPr="00EB785E">
              <w:rPr>
                <w:rFonts w:ascii="Arial" w:hAnsi="Arial" w:cs="Arial"/>
                <w:b/>
                <w:sz w:val="17"/>
                <w:szCs w:val="17"/>
              </w:rPr>
              <w:t>9,576,722,292</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b/>
                <w:sz w:val="17"/>
                <w:szCs w:val="17"/>
              </w:rPr>
            </w:pPr>
            <w:r w:rsidRPr="00EB785E">
              <w:rPr>
                <w:rFonts w:ascii="Arial" w:hAnsi="Arial" w:cs="Arial"/>
                <w:b/>
                <w:sz w:val="17"/>
                <w:szCs w:val="17"/>
              </w:rPr>
              <w:t>8,383,928,086</w:t>
            </w:r>
          </w:p>
        </w:tc>
      </w:tr>
      <w:tr w:rsidR="00EB785E"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6C5E04" w:rsidRDefault="00EB785E" w:rsidP="00EB785E">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b/>
                <w:sz w:val="17"/>
                <w:szCs w:val="17"/>
              </w:rPr>
            </w:pPr>
            <w:r w:rsidRPr="00EB785E">
              <w:rPr>
                <w:rFonts w:ascii="Arial" w:hAnsi="Arial" w:cs="Arial"/>
                <w:b/>
                <w:sz w:val="17"/>
                <w:szCs w:val="17"/>
              </w:rPr>
              <w:t>95,330,051</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b/>
                <w:sz w:val="17"/>
                <w:szCs w:val="17"/>
              </w:rPr>
            </w:pPr>
            <w:r w:rsidRPr="00EB785E">
              <w:rPr>
                <w:rFonts w:ascii="Arial" w:hAnsi="Arial" w:cs="Arial"/>
                <w:b/>
                <w:sz w:val="17"/>
                <w:szCs w:val="17"/>
              </w:rPr>
              <w:t>78,234,737</w:t>
            </w:r>
          </w:p>
        </w:tc>
      </w:tr>
      <w:tr w:rsidR="00EB785E"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6C5E04" w:rsidRDefault="00EB785E" w:rsidP="00EB785E">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b/>
                <w:sz w:val="17"/>
                <w:szCs w:val="17"/>
              </w:rPr>
            </w:pPr>
            <w:r w:rsidRPr="00EB785E">
              <w:rPr>
                <w:rFonts w:ascii="Arial" w:hAnsi="Arial" w:cs="Arial"/>
                <w:b/>
                <w:sz w:val="17"/>
                <w:szCs w:val="17"/>
              </w:rPr>
              <w:t>101,380,861</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b/>
                <w:sz w:val="17"/>
                <w:szCs w:val="17"/>
              </w:rPr>
            </w:pPr>
            <w:r w:rsidRPr="00EB785E">
              <w:rPr>
                <w:rFonts w:ascii="Arial" w:hAnsi="Arial" w:cs="Arial"/>
                <w:b/>
                <w:sz w:val="17"/>
                <w:szCs w:val="17"/>
              </w:rPr>
              <w:t>103,302,346</w:t>
            </w:r>
          </w:p>
        </w:tc>
      </w:tr>
      <w:tr w:rsidR="00EB785E"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6C5E04" w:rsidRDefault="00EB785E" w:rsidP="00EB785E">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b/>
                <w:sz w:val="17"/>
                <w:szCs w:val="17"/>
              </w:rPr>
            </w:pPr>
            <w:r w:rsidRPr="00EB785E">
              <w:rPr>
                <w:rFonts w:ascii="Arial" w:hAnsi="Arial" w:cs="Arial"/>
                <w:b/>
                <w:sz w:val="17"/>
                <w:szCs w:val="17"/>
              </w:rPr>
              <w:t>97,668,102</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b/>
                <w:sz w:val="17"/>
                <w:szCs w:val="17"/>
              </w:rPr>
            </w:pPr>
            <w:r w:rsidRPr="00EB785E">
              <w:rPr>
                <w:rFonts w:ascii="Arial" w:hAnsi="Arial" w:cs="Arial"/>
                <w:b/>
                <w:sz w:val="17"/>
                <w:szCs w:val="17"/>
              </w:rPr>
              <w:t>76,831,579</w:t>
            </w:r>
          </w:p>
        </w:tc>
      </w:tr>
      <w:tr w:rsidR="00EB785E" w:rsidRPr="002D70DA" w:rsidTr="00EC22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9D4479" w:rsidRDefault="00EB785E" w:rsidP="00EB785E">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sz w:val="17"/>
                <w:szCs w:val="17"/>
              </w:rPr>
            </w:pPr>
            <w:r w:rsidRPr="00EB785E">
              <w:rPr>
                <w:rFonts w:ascii="Arial" w:hAnsi="Arial" w:cs="Arial"/>
                <w:sz w:val="17"/>
                <w:szCs w:val="17"/>
              </w:rPr>
              <w:t>348,784</w:t>
            </w:r>
          </w:p>
        </w:tc>
        <w:tc>
          <w:tcPr>
            <w:tcW w:w="2180" w:type="dxa"/>
            <w:tcBorders>
              <w:top w:val="single" w:sz="4" w:space="0" w:color="auto"/>
              <w:left w:val="nil"/>
              <w:bottom w:val="single" w:sz="4" w:space="0" w:color="auto"/>
              <w:right w:val="single" w:sz="4" w:space="0" w:color="auto"/>
            </w:tcBorders>
            <w:shd w:val="clear" w:color="auto" w:fill="auto"/>
          </w:tcPr>
          <w:p w:rsidR="00EB785E" w:rsidRPr="00E85CA7" w:rsidRDefault="00EB785E" w:rsidP="00EB785E">
            <w:pPr>
              <w:jc w:val="right"/>
              <w:rPr>
                <w:rFonts w:ascii="Arial" w:hAnsi="Arial" w:cs="Arial"/>
                <w:sz w:val="17"/>
                <w:szCs w:val="17"/>
              </w:rPr>
            </w:pPr>
            <w:r w:rsidRPr="00E85CA7">
              <w:rPr>
                <w:rFonts w:ascii="Arial" w:hAnsi="Arial" w:cs="Arial"/>
                <w:sz w:val="17"/>
                <w:szCs w:val="17"/>
              </w:rPr>
              <w:t>2,634,520</w:t>
            </w:r>
          </w:p>
        </w:tc>
      </w:tr>
      <w:tr w:rsidR="00EB785E"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9D4479" w:rsidRDefault="00EB785E" w:rsidP="00EB785E">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sz w:val="17"/>
                <w:szCs w:val="17"/>
              </w:rPr>
            </w:pPr>
            <w:r w:rsidRPr="00EB785E">
              <w:rPr>
                <w:rFonts w:ascii="Arial" w:hAnsi="Arial" w:cs="Arial"/>
                <w:sz w:val="17"/>
                <w:szCs w:val="17"/>
              </w:rPr>
              <w:t>2,055,668</w:t>
            </w:r>
          </w:p>
        </w:tc>
        <w:tc>
          <w:tcPr>
            <w:tcW w:w="2180" w:type="dxa"/>
            <w:tcBorders>
              <w:top w:val="single" w:sz="4" w:space="0" w:color="auto"/>
              <w:left w:val="nil"/>
              <w:bottom w:val="single" w:sz="4" w:space="0" w:color="auto"/>
              <w:right w:val="single" w:sz="4" w:space="0" w:color="auto"/>
            </w:tcBorders>
            <w:shd w:val="clear" w:color="auto" w:fill="auto"/>
          </w:tcPr>
          <w:p w:rsidR="00EB785E" w:rsidRPr="000B0333" w:rsidRDefault="00EB785E" w:rsidP="00EB785E">
            <w:pPr>
              <w:jc w:val="right"/>
              <w:rPr>
                <w:rFonts w:ascii="Arial" w:hAnsi="Arial" w:cs="Arial"/>
                <w:sz w:val="17"/>
                <w:szCs w:val="17"/>
              </w:rPr>
            </w:pPr>
            <w:r w:rsidRPr="000B0333">
              <w:rPr>
                <w:rFonts w:ascii="Arial" w:hAnsi="Arial" w:cs="Arial"/>
                <w:sz w:val="17"/>
                <w:szCs w:val="17"/>
              </w:rPr>
              <w:t>0</w:t>
            </w:r>
          </w:p>
        </w:tc>
      </w:tr>
      <w:tr w:rsidR="00EB785E"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9D4479" w:rsidRDefault="00EB785E" w:rsidP="00EB785E">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sz w:val="17"/>
                <w:szCs w:val="17"/>
              </w:rPr>
            </w:pPr>
            <w:r w:rsidRPr="00EB785E">
              <w:rPr>
                <w:rFonts w:ascii="Arial" w:hAnsi="Arial" w:cs="Arial"/>
                <w:sz w:val="17"/>
                <w:szCs w:val="17"/>
              </w:rPr>
              <w:t>4,052,622</w:t>
            </w:r>
          </w:p>
        </w:tc>
        <w:tc>
          <w:tcPr>
            <w:tcW w:w="2180" w:type="dxa"/>
            <w:tcBorders>
              <w:top w:val="single" w:sz="4" w:space="0" w:color="auto"/>
              <w:left w:val="nil"/>
              <w:bottom w:val="single" w:sz="4" w:space="0" w:color="auto"/>
              <w:right w:val="single" w:sz="4" w:space="0" w:color="auto"/>
            </w:tcBorders>
            <w:shd w:val="clear" w:color="auto" w:fill="auto"/>
          </w:tcPr>
          <w:p w:rsidR="00EB785E" w:rsidRPr="000B0333" w:rsidRDefault="00EB785E" w:rsidP="00EB785E">
            <w:pPr>
              <w:jc w:val="right"/>
              <w:rPr>
                <w:rFonts w:ascii="Arial" w:hAnsi="Arial" w:cs="Arial"/>
                <w:sz w:val="17"/>
                <w:szCs w:val="17"/>
              </w:rPr>
            </w:pPr>
            <w:r w:rsidRPr="000B0333">
              <w:rPr>
                <w:rFonts w:ascii="Arial" w:hAnsi="Arial" w:cs="Arial"/>
                <w:sz w:val="17"/>
                <w:szCs w:val="17"/>
              </w:rPr>
              <w:t>4,479,633</w:t>
            </w:r>
          </w:p>
        </w:tc>
      </w:tr>
      <w:tr w:rsidR="00EB785E"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9D4479" w:rsidRDefault="00EB785E" w:rsidP="00EB785E">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sz w:val="17"/>
                <w:szCs w:val="17"/>
              </w:rPr>
            </w:pPr>
            <w:r w:rsidRPr="00EB785E">
              <w:rPr>
                <w:rFonts w:ascii="Arial" w:hAnsi="Arial" w:cs="Arial"/>
                <w:sz w:val="17"/>
                <w:szCs w:val="17"/>
              </w:rPr>
              <w:t>12,724,715</w:t>
            </w:r>
          </w:p>
        </w:tc>
        <w:tc>
          <w:tcPr>
            <w:tcW w:w="2180" w:type="dxa"/>
            <w:tcBorders>
              <w:top w:val="single" w:sz="4" w:space="0" w:color="auto"/>
              <w:left w:val="nil"/>
              <w:bottom w:val="single" w:sz="4" w:space="0" w:color="auto"/>
              <w:right w:val="single" w:sz="4" w:space="0" w:color="auto"/>
            </w:tcBorders>
            <w:shd w:val="clear" w:color="auto" w:fill="auto"/>
          </w:tcPr>
          <w:p w:rsidR="00EB785E" w:rsidRPr="000B0333" w:rsidRDefault="00EB785E" w:rsidP="00EB785E">
            <w:pPr>
              <w:jc w:val="right"/>
              <w:rPr>
                <w:rFonts w:ascii="Arial" w:hAnsi="Arial" w:cs="Arial"/>
                <w:sz w:val="17"/>
                <w:szCs w:val="17"/>
              </w:rPr>
            </w:pPr>
            <w:r w:rsidRPr="000B0333">
              <w:rPr>
                <w:rFonts w:ascii="Arial" w:hAnsi="Arial" w:cs="Arial"/>
                <w:sz w:val="17"/>
                <w:szCs w:val="17"/>
              </w:rPr>
              <w:t>1,884</w:t>
            </w:r>
          </w:p>
        </w:tc>
      </w:tr>
      <w:tr w:rsidR="00EB785E"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9D4479" w:rsidRDefault="00EB785E" w:rsidP="00EB785E">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sz w:val="17"/>
                <w:szCs w:val="17"/>
              </w:rPr>
            </w:pPr>
            <w:r w:rsidRPr="00EB785E">
              <w:rPr>
                <w:rFonts w:ascii="Arial" w:hAnsi="Arial" w:cs="Arial"/>
                <w:sz w:val="17"/>
                <w:szCs w:val="17"/>
              </w:rPr>
              <w:t>74,064,645</w:t>
            </w:r>
          </w:p>
        </w:tc>
        <w:tc>
          <w:tcPr>
            <w:tcW w:w="2180" w:type="dxa"/>
            <w:tcBorders>
              <w:top w:val="single" w:sz="4" w:space="0" w:color="auto"/>
              <w:left w:val="nil"/>
              <w:bottom w:val="single" w:sz="4" w:space="0" w:color="auto"/>
              <w:right w:val="single" w:sz="4" w:space="0" w:color="auto"/>
            </w:tcBorders>
            <w:shd w:val="clear" w:color="auto" w:fill="auto"/>
          </w:tcPr>
          <w:p w:rsidR="00EB785E" w:rsidRPr="000B0333" w:rsidRDefault="00EB785E" w:rsidP="00EB785E">
            <w:pPr>
              <w:jc w:val="right"/>
              <w:rPr>
                <w:rFonts w:ascii="Arial" w:hAnsi="Arial" w:cs="Arial"/>
                <w:sz w:val="17"/>
                <w:szCs w:val="17"/>
              </w:rPr>
            </w:pPr>
            <w:r w:rsidRPr="000B0333">
              <w:rPr>
                <w:rFonts w:ascii="Arial" w:hAnsi="Arial" w:cs="Arial"/>
                <w:sz w:val="17"/>
                <w:szCs w:val="17"/>
              </w:rPr>
              <w:t>68,931,547</w:t>
            </w:r>
          </w:p>
        </w:tc>
      </w:tr>
      <w:tr w:rsidR="00EB785E"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9D4479" w:rsidRDefault="00EB785E" w:rsidP="00EB785E">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sz w:val="17"/>
                <w:szCs w:val="17"/>
              </w:rPr>
            </w:pPr>
            <w:r w:rsidRPr="00EB785E">
              <w:rPr>
                <w:rFonts w:ascii="Arial" w:hAnsi="Arial" w:cs="Arial"/>
                <w:sz w:val="17"/>
                <w:szCs w:val="17"/>
              </w:rPr>
              <w:t>2,592,887</w:t>
            </w:r>
          </w:p>
        </w:tc>
        <w:tc>
          <w:tcPr>
            <w:tcW w:w="2180" w:type="dxa"/>
            <w:tcBorders>
              <w:top w:val="single" w:sz="4" w:space="0" w:color="auto"/>
              <w:left w:val="nil"/>
              <w:bottom w:val="single" w:sz="4" w:space="0" w:color="auto"/>
              <w:right w:val="single" w:sz="4" w:space="0" w:color="auto"/>
            </w:tcBorders>
            <w:shd w:val="clear" w:color="auto" w:fill="auto"/>
          </w:tcPr>
          <w:p w:rsidR="00EB785E" w:rsidRPr="000B0333" w:rsidRDefault="00EB785E" w:rsidP="00EB785E">
            <w:pPr>
              <w:jc w:val="right"/>
              <w:rPr>
                <w:rFonts w:ascii="Arial" w:hAnsi="Arial" w:cs="Arial"/>
                <w:sz w:val="17"/>
                <w:szCs w:val="17"/>
              </w:rPr>
            </w:pPr>
            <w:r w:rsidRPr="000B0333">
              <w:rPr>
                <w:rFonts w:ascii="Arial" w:hAnsi="Arial" w:cs="Arial"/>
                <w:sz w:val="17"/>
                <w:szCs w:val="17"/>
              </w:rPr>
              <w:t>2,067,648</w:t>
            </w:r>
          </w:p>
        </w:tc>
      </w:tr>
      <w:tr w:rsidR="00EB785E"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B785E" w:rsidRPr="009D4479" w:rsidRDefault="00EB785E" w:rsidP="00EB785E">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B785E" w:rsidRPr="00EB785E" w:rsidRDefault="00EB785E" w:rsidP="00EB785E">
            <w:pPr>
              <w:jc w:val="right"/>
              <w:rPr>
                <w:rFonts w:ascii="Arial" w:hAnsi="Arial" w:cs="Arial"/>
                <w:sz w:val="17"/>
                <w:szCs w:val="17"/>
              </w:rPr>
            </w:pPr>
            <w:r w:rsidRPr="00EB785E">
              <w:rPr>
                <w:rFonts w:ascii="Arial" w:hAnsi="Arial" w:cs="Arial"/>
                <w:sz w:val="17"/>
                <w:szCs w:val="17"/>
              </w:rPr>
              <w:t>1,828,782</w:t>
            </w:r>
          </w:p>
        </w:tc>
        <w:tc>
          <w:tcPr>
            <w:tcW w:w="2180" w:type="dxa"/>
            <w:tcBorders>
              <w:top w:val="single" w:sz="4" w:space="0" w:color="auto"/>
              <w:left w:val="nil"/>
              <w:bottom w:val="single" w:sz="4" w:space="0" w:color="auto"/>
              <w:right w:val="single" w:sz="4" w:space="0" w:color="auto"/>
            </w:tcBorders>
            <w:shd w:val="clear" w:color="auto" w:fill="auto"/>
          </w:tcPr>
          <w:p w:rsidR="00EB785E" w:rsidRPr="000B0333" w:rsidRDefault="00EB785E" w:rsidP="00EB785E">
            <w:pPr>
              <w:jc w:val="right"/>
              <w:rPr>
                <w:rFonts w:ascii="Arial" w:hAnsi="Arial" w:cs="Arial"/>
                <w:sz w:val="17"/>
                <w:szCs w:val="17"/>
              </w:rPr>
            </w:pPr>
            <w:r w:rsidRPr="000B0333">
              <w:rPr>
                <w:rFonts w:ascii="Arial" w:hAnsi="Arial" w:cs="Arial"/>
                <w:sz w:val="17"/>
                <w:szCs w:val="17"/>
              </w:rPr>
              <w:t>1,350,867</w:t>
            </w:r>
          </w:p>
        </w:tc>
      </w:tr>
      <w:tr w:rsidR="00EB785E" w:rsidRPr="002D70DA" w:rsidTr="003F2A85">
        <w:trPr>
          <w:trHeight w:val="240"/>
          <w:jc w:val="center"/>
        </w:trPr>
        <w:tc>
          <w:tcPr>
            <w:tcW w:w="4900" w:type="dxa"/>
            <w:tcBorders>
              <w:top w:val="nil"/>
              <w:left w:val="nil"/>
              <w:bottom w:val="nil"/>
              <w:right w:val="single" w:sz="4" w:space="0" w:color="auto"/>
            </w:tcBorders>
            <w:shd w:val="clear" w:color="000000" w:fill="FFFFFF"/>
            <w:vAlign w:val="center"/>
            <w:hideMark/>
          </w:tcPr>
          <w:p w:rsidR="00EB785E" w:rsidRPr="002D70DA" w:rsidRDefault="00EB785E" w:rsidP="00EB785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EB785E" w:rsidRPr="00EB785E" w:rsidRDefault="00EB785E" w:rsidP="00EB785E">
            <w:pPr>
              <w:jc w:val="right"/>
              <w:rPr>
                <w:rFonts w:ascii="Arial" w:hAnsi="Arial" w:cs="Arial"/>
                <w:b/>
                <w:sz w:val="17"/>
                <w:szCs w:val="17"/>
              </w:rPr>
            </w:pPr>
            <w:r w:rsidRPr="00EB785E">
              <w:rPr>
                <w:rFonts w:ascii="Arial" w:hAnsi="Arial" w:cs="Arial"/>
                <w:b/>
                <w:sz w:val="17"/>
                <w:szCs w:val="17"/>
              </w:rPr>
              <w:t>9,871,101,307</w:t>
            </w:r>
          </w:p>
        </w:tc>
        <w:tc>
          <w:tcPr>
            <w:tcW w:w="2180" w:type="dxa"/>
            <w:tcBorders>
              <w:top w:val="nil"/>
              <w:left w:val="single" w:sz="4" w:space="0" w:color="auto"/>
              <w:bottom w:val="single" w:sz="4" w:space="0" w:color="auto"/>
              <w:right w:val="single" w:sz="4" w:space="0" w:color="auto"/>
            </w:tcBorders>
            <w:shd w:val="clear" w:color="000000" w:fill="FFFFFF"/>
            <w:hideMark/>
          </w:tcPr>
          <w:p w:rsidR="00EB785E" w:rsidRPr="000B0333" w:rsidRDefault="00EB785E" w:rsidP="00EB785E">
            <w:pPr>
              <w:jc w:val="right"/>
              <w:rPr>
                <w:rFonts w:ascii="Arial" w:hAnsi="Arial" w:cs="Arial"/>
                <w:b/>
                <w:sz w:val="17"/>
                <w:szCs w:val="17"/>
              </w:rPr>
            </w:pPr>
            <w:r w:rsidRPr="000B0333">
              <w:rPr>
                <w:rFonts w:ascii="Arial" w:hAnsi="Arial" w:cs="Arial"/>
                <w:b/>
                <w:sz w:val="17"/>
                <w:szCs w:val="17"/>
              </w:rPr>
              <w:t>8,642,296,748</w:t>
            </w:r>
          </w:p>
        </w:tc>
      </w:tr>
    </w:tbl>
    <w:p w:rsidR="00BC40BB" w:rsidRDefault="00BC40BB" w:rsidP="000B0333">
      <w:pPr>
        <w:autoSpaceDE w:val="0"/>
        <w:autoSpaceDN w:val="0"/>
        <w:adjustRightInd w:val="0"/>
        <w:spacing w:before="240" w:after="120"/>
        <w:ind w:left="709"/>
        <w:rPr>
          <w:rFonts w:ascii="Arial" w:eastAsia="Calibri" w:hAnsi="Arial" w:cs="Arial"/>
          <w:spacing w:val="-1"/>
          <w:sz w:val="17"/>
          <w:szCs w:val="17"/>
        </w:rPr>
      </w:pP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82811">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BD7963">
            <w:pPr>
              <w:jc w:val="right"/>
              <w:rPr>
                <w:rFonts w:ascii="Arial" w:hAnsi="Arial" w:cs="Arial"/>
                <w:b/>
                <w:bCs/>
                <w:color w:val="000000"/>
                <w:sz w:val="17"/>
                <w:szCs w:val="17"/>
              </w:rPr>
            </w:pPr>
            <w:r w:rsidRPr="00BD7963">
              <w:rPr>
                <w:rFonts w:ascii="Arial" w:hAnsi="Arial" w:cs="Arial"/>
                <w:b/>
                <w:bCs/>
                <w:color w:val="000000"/>
                <w:sz w:val="17"/>
                <w:szCs w:val="17"/>
              </w:rPr>
              <w:t>33,499,724,854</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470B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0C6BE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9075B3" w:rsidRDefault="00BA2F45">
            <w:pPr>
              <w:rPr>
                <w:rFonts w:ascii="Arial" w:hAnsi="Arial" w:cs="Arial"/>
                <w:color w:val="000000"/>
                <w:sz w:val="17"/>
                <w:szCs w:val="17"/>
              </w:rPr>
            </w:pPr>
            <w:r w:rsidRPr="00BA2F45">
              <w:rPr>
                <w:rFonts w:ascii="Arial" w:hAnsi="Arial" w:cs="Arial"/>
                <w:color w:val="000000"/>
                <w:sz w:val="17"/>
                <w:szCs w:val="17"/>
              </w:rPr>
              <w:t>Transferencias al Resto del Sector Público</w:t>
            </w:r>
          </w:p>
        </w:tc>
        <w:tc>
          <w:tcPr>
            <w:tcW w:w="2180" w:type="dxa"/>
            <w:tcBorders>
              <w:top w:val="nil"/>
              <w:left w:val="nil"/>
              <w:bottom w:val="single" w:sz="4" w:space="0" w:color="auto"/>
              <w:right w:val="single" w:sz="4" w:space="0" w:color="auto"/>
            </w:tcBorders>
            <w:shd w:val="clear" w:color="auto" w:fill="auto"/>
            <w:vAlign w:val="center"/>
          </w:tcPr>
          <w:p w:rsidR="00BC0DE0" w:rsidRPr="009075B3" w:rsidRDefault="00BA2F45">
            <w:pPr>
              <w:jc w:val="right"/>
              <w:rPr>
                <w:rFonts w:ascii="Arial" w:hAnsi="Arial" w:cs="Arial"/>
                <w:bCs/>
                <w:color w:val="000000"/>
                <w:sz w:val="17"/>
                <w:szCs w:val="17"/>
              </w:rPr>
            </w:pPr>
            <w:r w:rsidRPr="00BA2F45">
              <w:rPr>
                <w:rFonts w:ascii="Arial" w:hAnsi="Arial" w:cs="Arial"/>
                <w:bCs/>
                <w:color w:val="000000"/>
                <w:sz w:val="17"/>
                <w:szCs w:val="17"/>
              </w:rPr>
              <w:t>7,336,531,554</w:t>
            </w:r>
          </w:p>
        </w:tc>
        <w:tc>
          <w:tcPr>
            <w:tcW w:w="2180" w:type="dxa"/>
            <w:tcBorders>
              <w:top w:val="nil"/>
              <w:left w:val="nil"/>
              <w:bottom w:val="single" w:sz="4" w:space="0" w:color="auto"/>
              <w:right w:val="single" w:sz="4" w:space="0" w:color="auto"/>
            </w:tcBorders>
            <w:shd w:val="clear" w:color="auto" w:fill="auto"/>
            <w:vAlign w:val="center"/>
          </w:tcPr>
          <w:p w:rsidR="00BC0DE0" w:rsidRPr="009075B3" w:rsidRDefault="00BA2F45" w:rsidP="0004595A">
            <w:pPr>
              <w:jc w:val="right"/>
              <w:rPr>
                <w:rFonts w:ascii="Arial" w:hAnsi="Arial" w:cs="Arial"/>
                <w:bCs/>
                <w:color w:val="000000"/>
                <w:sz w:val="17"/>
                <w:szCs w:val="17"/>
              </w:rPr>
            </w:pPr>
            <w:r w:rsidRPr="00BA2F45">
              <w:rPr>
                <w:rFonts w:ascii="Arial" w:hAnsi="Arial" w:cs="Arial"/>
                <w:bCs/>
                <w:color w:val="000000"/>
                <w:sz w:val="17"/>
                <w:szCs w:val="17"/>
              </w:rPr>
              <w:t>22%</w:t>
            </w:r>
          </w:p>
        </w:tc>
      </w:tr>
      <w:tr w:rsidR="0004595A" w:rsidRPr="002D70DA" w:rsidTr="000C6BE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595A" w:rsidRPr="009075B3" w:rsidRDefault="00BA2F45">
            <w:pPr>
              <w:rPr>
                <w:rFonts w:ascii="Arial" w:hAnsi="Arial" w:cs="Arial"/>
                <w:color w:val="000000"/>
                <w:sz w:val="17"/>
                <w:szCs w:val="17"/>
              </w:rPr>
            </w:pPr>
            <w:r w:rsidRPr="00BA2F45">
              <w:rPr>
                <w:rFonts w:ascii="Arial" w:hAnsi="Arial" w:cs="Arial"/>
                <w:color w:val="000000"/>
                <w:sz w:val="17"/>
                <w:szCs w:val="17"/>
              </w:rPr>
              <w:t>Aportaciones</w:t>
            </w:r>
          </w:p>
        </w:tc>
        <w:tc>
          <w:tcPr>
            <w:tcW w:w="2180" w:type="dxa"/>
            <w:tcBorders>
              <w:top w:val="single" w:sz="4" w:space="0" w:color="auto"/>
              <w:left w:val="nil"/>
              <w:bottom w:val="single" w:sz="4" w:space="0" w:color="auto"/>
              <w:right w:val="single" w:sz="4" w:space="0" w:color="auto"/>
            </w:tcBorders>
            <w:shd w:val="clear" w:color="auto" w:fill="auto"/>
            <w:vAlign w:val="center"/>
          </w:tcPr>
          <w:p w:rsidR="0004595A" w:rsidRPr="0004595A" w:rsidRDefault="00BA2F45">
            <w:pPr>
              <w:jc w:val="right"/>
              <w:rPr>
                <w:rFonts w:ascii="Arial" w:hAnsi="Arial" w:cs="Arial"/>
                <w:bCs/>
                <w:color w:val="000000"/>
                <w:sz w:val="17"/>
                <w:szCs w:val="17"/>
              </w:rPr>
            </w:pPr>
            <w:r w:rsidRPr="00BA2F45">
              <w:rPr>
                <w:rFonts w:ascii="Arial" w:hAnsi="Arial" w:cs="Arial"/>
                <w:bCs/>
                <w:color w:val="000000"/>
                <w:sz w:val="17"/>
                <w:szCs w:val="17"/>
              </w:rPr>
              <w:t>10,656,346,054</w:t>
            </w:r>
          </w:p>
        </w:tc>
        <w:tc>
          <w:tcPr>
            <w:tcW w:w="2180" w:type="dxa"/>
            <w:tcBorders>
              <w:top w:val="single" w:sz="4" w:space="0" w:color="auto"/>
              <w:left w:val="nil"/>
              <w:bottom w:val="single" w:sz="4" w:space="0" w:color="auto"/>
              <w:right w:val="single" w:sz="4" w:space="0" w:color="auto"/>
            </w:tcBorders>
            <w:shd w:val="clear" w:color="auto" w:fill="auto"/>
            <w:vAlign w:val="center"/>
          </w:tcPr>
          <w:p w:rsidR="0004595A" w:rsidRDefault="00BA2F45">
            <w:pPr>
              <w:jc w:val="right"/>
              <w:rPr>
                <w:rFonts w:ascii="Arial" w:hAnsi="Arial" w:cs="Arial"/>
                <w:bCs/>
                <w:color w:val="000000"/>
                <w:sz w:val="17"/>
                <w:szCs w:val="17"/>
              </w:rPr>
            </w:pPr>
            <w:r w:rsidRPr="00BA2F45">
              <w:rPr>
                <w:rFonts w:ascii="Arial" w:hAnsi="Arial" w:cs="Arial"/>
                <w:bCs/>
                <w:color w:val="000000"/>
                <w:sz w:val="17"/>
                <w:szCs w:val="17"/>
              </w:rPr>
              <w:t>32%</w:t>
            </w:r>
          </w:p>
        </w:tc>
      </w:tr>
    </w:tbl>
    <w:p w:rsidR="00534381" w:rsidRDefault="00534381" w:rsidP="00534381">
      <w:pPr>
        <w:spacing w:before="80" w:line="250" w:lineRule="exact"/>
        <w:jc w:val="both"/>
        <w:rPr>
          <w:rFonts w:ascii="Arial" w:eastAsia="Calibri" w:hAnsi="Arial" w:cs="Arial"/>
          <w:b/>
          <w:spacing w:val="-1"/>
          <w:sz w:val="17"/>
          <w:szCs w:val="17"/>
        </w:rPr>
      </w:pPr>
    </w:p>
    <w:p w:rsidR="00A2503B" w:rsidRDefault="00A2503B">
      <w:pPr>
        <w:rPr>
          <w:rFonts w:ascii="Arial" w:eastAsia="Calibri" w:hAnsi="Arial" w:cs="Arial"/>
          <w:b/>
          <w:spacing w:val="-1"/>
          <w:sz w:val="17"/>
          <w:szCs w:val="17"/>
        </w:rPr>
      </w:pPr>
      <w:r>
        <w:rPr>
          <w:rFonts w:ascii="Arial" w:eastAsia="Calibri" w:hAnsi="Arial" w:cs="Arial"/>
          <w:b/>
          <w:spacing w:val="-1"/>
          <w:sz w:val="17"/>
          <w:szCs w:val="17"/>
        </w:rPr>
        <w:br w:type="page"/>
      </w:r>
    </w:p>
    <w:p w:rsidR="00534381" w:rsidRPr="00E76A87" w:rsidRDefault="00534381" w:rsidP="00812398">
      <w:pPr>
        <w:pStyle w:val="Prrafodelista"/>
        <w:numPr>
          <w:ilvl w:val="0"/>
          <w:numId w:val="13"/>
        </w:numPr>
        <w:spacing w:before="80" w:line="250" w:lineRule="exact"/>
        <w:jc w:val="both"/>
        <w:rPr>
          <w:rFonts w:ascii="Arial" w:eastAsia="Calibri" w:hAnsi="Arial" w:cs="Arial"/>
          <w:b/>
          <w:spacing w:val="-1"/>
          <w:sz w:val="17"/>
          <w:szCs w:val="17"/>
        </w:rPr>
      </w:pPr>
      <w:r w:rsidRPr="00E76A87">
        <w:rPr>
          <w:rFonts w:ascii="Arial" w:eastAsia="Calibri" w:hAnsi="Arial" w:cs="Arial"/>
          <w:b/>
          <w:spacing w:val="-1"/>
          <w:sz w:val="17"/>
          <w:szCs w:val="17"/>
        </w:rPr>
        <w:lastRenderedPageBreak/>
        <w:t>Otros Gastos y Pérdidas Extraordinarias</w:t>
      </w:r>
    </w:p>
    <w:p w:rsidR="00D80124" w:rsidRPr="00D80124" w:rsidRDefault="00D80124" w:rsidP="00D80124">
      <w:pPr>
        <w:autoSpaceDE w:val="0"/>
        <w:autoSpaceDN w:val="0"/>
        <w:adjustRightInd w:val="0"/>
        <w:spacing w:before="240" w:after="120"/>
        <w:ind w:left="360"/>
        <w:rPr>
          <w:rFonts w:ascii="Arial" w:eastAsia="Calibri" w:hAnsi="Arial" w:cs="Arial"/>
          <w:spacing w:val="-1"/>
          <w:sz w:val="17"/>
          <w:szCs w:val="17"/>
        </w:rPr>
      </w:pPr>
      <w:r w:rsidRPr="00D80124">
        <w:rPr>
          <w:rFonts w:ascii="Arial" w:eastAsia="Calibri" w:hAnsi="Arial" w:cs="Arial"/>
          <w:spacing w:val="-1"/>
          <w:sz w:val="17"/>
          <w:szCs w:val="17"/>
        </w:rPr>
        <w:t>El rubro de Otros Gastos y Pérdidas Extraordinarias está distribuido de la siguiente manera:</w:t>
      </w:r>
    </w:p>
    <w:p w:rsidR="00D80124" w:rsidRPr="00D80124" w:rsidRDefault="00D80124" w:rsidP="00D80124">
      <w:pPr>
        <w:autoSpaceDE w:val="0"/>
        <w:autoSpaceDN w:val="0"/>
        <w:adjustRightInd w:val="0"/>
        <w:spacing w:before="240" w:after="120"/>
        <w:ind w:left="360"/>
        <w:jc w:val="center"/>
        <w:rPr>
          <w:rFonts w:ascii="Arial" w:eastAsia="Calibri" w:hAnsi="Arial" w:cs="Arial"/>
          <w:b/>
          <w:spacing w:val="-1"/>
          <w:sz w:val="17"/>
          <w:szCs w:val="17"/>
        </w:rPr>
      </w:pPr>
      <w:r w:rsidRPr="00D80124">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D80124"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0124" w:rsidRPr="002D70DA" w:rsidRDefault="00D80124" w:rsidP="003F2A8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80124" w:rsidRPr="002D70DA" w:rsidRDefault="00582811" w:rsidP="003F2A8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80124" w:rsidRPr="002D70DA" w:rsidRDefault="00582811" w:rsidP="003F2A85">
            <w:pPr>
              <w:jc w:val="center"/>
              <w:rPr>
                <w:rFonts w:ascii="Arial" w:hAnsi="Arial" w:cs="Arial"/>
                <w:b/>
                <w:bCs/>
                <w:color w:val="000000"/>
                <w:sz w:val="17"/>
                <w:szCs w:val="17"/>
              </w:rPr>
            </w:pPr>
            <w:r>
              <w:rPr>
                <w:rFonts w:ascii="Arial" w:hAnsi="Arial" w:cs="Arial"/>
                <w:b/>
                <w:bCs/>
                <w:color w:val="000000"/>
                <w:sz w:val="17"/>
                <w:szCs w:val="17"/>
              </w:rPr>
              <w:t>2016</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6C5E04" w:rsidRDefault="00900922" w:rsidP="00900922">
            <w:pPr>
              <w:rPr>
                <w:rFonts w:ascii="Arial" w:hAnsi="Arial" w:cs="Arial"/>
                <w:b/>
                <w:sz w:val="17"/>
                <w:szCs w:val="17"/>
              </w:rPr>
            </w:pPr>
            <w:r w:rsidRPr="006C5E04">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b/>
                <w:sz w:val="17"/>
                <w:szCs w:val="17"/>
              </w:rPr>
            </w:pPr>
            <w:r w:rsidRPr="00900922">
              <w:rPr>
                <w:rFonts w:ascii="Arial" w:hAnsi="Arial" w:cs="Arial"/>
                <w:b/>
                <w:sz w:val="17"/>
                <w:szCs w:val="17"/>
              </w:rPr>
              <w:t>204,886,376</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b/>
                <w:sz w:val="17"/>
                <w:szCs w:val="17"/>
              </w:rPr>
            </w:pPr>
            <w:r w:rsidRPr="00900922">
              <w:rPr>
                <w:rFonts w:ascii="Arial" w:hAnsi="Arial" w:cs="Arial"/>
                <w:b/>
                <w:sz w:val="17"/>
                <w:szCs w:val="17"/>
              </w:rPr>
              <w:t>740,033,159</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6C5E04" w:rsidRDefault="00900922" w:rsidP="00900922">
            <w:pPr>
              <w:rPr>
                <w:rFonts w:ascii="Arial" w:hAnsi="Arial" w:cs="Arial"/>
                <w:b/>
                <w:sz w:val="17"/>
                <w:szCs w:val="17"/>
              </w:rPr>
            </w:pPr>
            <w:r w:rsidRPr="006C5E04">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b/>
                <w:sz w:val="17"/>
                <w:szCs w:val="17"/>
              </w:rPr>
            </w:pPr>
            <w:r w:rsidRPr="00900922">
              <w:rPr>
                <w:rFonts w:ascii="Arial" w:hAnsi="Arial" w:cs="Arial"/>
                <w:b/>
                <w:sz w:val="17"/>
                <w:szCs w:val="17"/>
              </w:rPr>
              <w:t>14,211,425</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b/>
                <w:sz w:val="17"/>
                <w:szCs w:val="17"/>
              </w:rPr>
            </w:pPr>
            <w:r w:rsidRPr="00900922">
              <w:rPr>
                <w:rFonts w:ascii="Arial" w:hAnsi="Arial" w:cs="Arial"/>
                <w:b/>
                <w:sz w:val="17"/>
                <w:szCs w:val="17"/>
              </w:rPr>
              <w:t>13,619,387</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6C5E04" w:rsidRDefault="00900922" w:rsidP="00900922">
            <w:pPr>
              <w:rPr>
                <w:rFonts w:ascii="Arial" w:hAnsi="Arial" w:cs="Arial"/>
                <w:b/>
                <w:sz w:val="17"/>
                <w:szCs w:val="17"/>
              </w:rPr>
            </w:pPr>
            <w:r w:rsidRPr="006C5E04">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b/>
                <w:sz w:val="17"/>
                <w:szCs w:val="17"/>
              </w:rPr>
            </w:pPr>
            <w:r w:rsidRPr="00900922">
              <w:rPr>
                <w:rFonts w:ascii="Arial" w:hAnsi="Arial" w:cs="Arial"/>
                <w:b/>
                <w:sz w:val="17"/>
                <w:szCs w:val="17"/>
              </w:rPr>
              <w:t>9,381,147</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b/>
                <w:sz w:val="17"/>
                <w:szCs w:val="17"/>
              </w:rPr>
            </w:pPr>
            <w:r w:rsidRPr="00900922">
              <w:rPr>
                <w:rFonts w:ascii="Arial" w:hAnsi="Arial" w:cs="Arial"/>
                <w:b/>
                <w:sz w:val="17"/>
                <w:szCs w:val="17"/>
              </w:rPr>
              <w:t>3,717,660</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6C5E04" w:rsidRDefault="00900922" w:rsidP="00900922">
            <w:pPr>
              <w:rPr>
                <w:rFonts w:ascii="Arial" w:hAnsi="Arial" w:cs="Arial"/>
                <w:b/>
                <w:sz w:val="17"/>
                <w:szCs w:val="17"/>
              </w:rPr>
            </w:pPr>
            <w:r w:rsidRPr="006C5E04">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b/>
                <w:sz w:val="17"/>
                <w:szCs w:val="17"/>
              </w:rPr>
            </w:pPr>
            <w:r w:rsidRPr="00900922">
              <w:rPr>
                <w:rFonts w:ascii="Arial" w:hAnsi="Arial" w:cs="Arial"/>
                <w:b/>
                <w:sz w:val="17"/>
                <w:szCs w:val="17"/>
              </w:rPr>
              <w:t>37,827,714</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b/>
                <w:sz w:val="17"/>
                <w:szCs w:val="17"/>
              </w:rPr>
            </w:pPr>
            <w:r w:rsidRPr="00900922">
              <w:rPr>
                <w:rFonts w:ascii="Arial" w:hAnsi="Arial" w:cs="Arial"/>
                <w:b/>
                <w:sz w:val="17"/>
                <w:szCs w:val="17"/>
              </w:rPr>
              <w:t>22,001,746</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9D4479" w:rsidRDefault="00900922" w:rsidP="00900922">
            <w:pPr>
              <w:ind w:left="709"/>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sz w:val="17"/>
                <w:szCs w:val="17"/>
              </w:rPr>
            </w:pPr>
            <w:r w:rsidRPr="00900922">
              <w:rPr>
                <w:rFonts w:ascii="Arial" w:hAnsi="Arial" w:cs="Arial"/>
                <w:sz w:val="17"/>
                <w:szCs w:val="17"/>
              </w:rPr>
              <w:t>189,418</w:t>
            </w:r>
          </w:p>
        </w:tc>
        <w:tc>
          <w:tcPr>
            <w:tcW w:w="2180" w:type="dxa"/>
            <w:tcBorders>
              <w:top w:val="single" w:sz="4" w:space="0" w:color="auto"/>
              <w:left w:val="nil"/>
              <w:bottom w:val="single" w:sz="4" w:space="0" w:color="auto"/>
              <w:right w:val="single" w:sz="4" w:space="0" w:color="auto"/>
            </w:tcBorders>
            <w:shd w:val="clear" w:color="auto" w:fill="auto"/>
          </w:tcPr>
          <w:p w:rsidR="00900922" w:rsidRPr="00BC40BB" w:rsidRDefault="00900922" w:rsidP="00900922">
            <w:pPr>
              <w:jc w:val="right"/>
              <w:rPr>
                <w:rFonts w:ascii="Arial" w:hAnsi="Arial" w:cs="Arial"/>
                <w:sz w:val="17"/>
                <w:szCs w:val="17"/>
              </w:rPr>
            </w:pPr>
            <w:r w:rsidRPr="00BC40BB">
              <w:rPr>
                <w:rFonts w:ascii="Arial" w:hAnsi="Arial" w:cs="Arial"/>
                <w:sz w:val="17"/>
                <w:szCs w:val="17"/>
              </w:rPr>
              <w:t>152,565</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9D4479" w:rsidRDefault="00900922" w:rsidP="00900922">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sz w:val="17"/>
                <w:szCs w:val="17"/>
              </w:rPr>
            </w:pPr>
            <w:r w:rsidRPr="00900922">
              <w:rPr>
                <w:rFonts w:ascii="Arial" w:hAnsi="Arial" w:cs="Arial"/>
                <w:sz w:val="17"/>
                <w:szCs w:val="17"/>
              </w:rPr>
              <w:t>930,927</w:t>
            </w:r>
          </w:p>
        </w:tc>
        <w:tc>
          <w:tcPr>
            <w:tcW w:w="2180" w:type="dxa"/>
            <w:tcBorders>
              <w:top w:val="single" w:sz="4" w:space="0" w:color="auto"/>
              <w:left w:val="nil"/>
              <w:bottom w:val="single" w:sz="4" w:space="0" w:color="auto"/>
              <w:right w:val="single" w:sz="4" w:space="0" w:color="auto"/>
            </w:tcBorders>
            <w:shd w:val="clear" w:color="auto" w:fill="auto"/>
          </w:tcPr>
          <w:p w:rsidR="00900922" w:rsidRPr="00BC40BB" w:rsidRDefault="00900922" w:rsidP="00900922">
            <w:pPr>
              <w:jc w:val="right"/>
              <w:rPr>
                <w:rFonts w:ascii="Arial" w:hAnsi="Arial" w:cs="Arial"/>
                <w:sz w:val="17"/>
                <w:szCs w:val="17"/>
              </w:rPr>
            </w:pPr>
            <w:r w:rsidRPr="00BC40BB">
              <w:rPr>
                <w:rFonts w:ascii="Arial" w:hAnsi="Arial" w:cs="Arial"/>
                <w:sz w:val="17"/>
                <w:szCs w:val="17"/>
              </w:rPr>
              <w:t>554,197</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9D4479" w:rsidRDefault="00900922" w:rsidP="00900922">
            <w:pPr>
              <w:ind w:left="709"/>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sz w:val="17"/>
                <w:szCs w:val="17"/>
              </w:rPr>
            </w:pPr>
            <w:r w:rsidRPr="00900922">
              <w:rPr>
                <w:rFonts w:ascii="Arial" w:hAnsi="Arial" w:cs="Arial"/>
                <w:sz w:val="17"/>
                <w:szCs w:val="17"/>
              </w:rPr>
              <w:t>1,370,671</w:t>
            </w:r>
          </w:p>
        </w:tc>
        <w:tc>
          <w:tcPr>
            <w:tcW w:w="2180" w:type="dxa"/>
            <w:tcBorders>
              <w:top w:val="single" w:sz="4" w:space="0" w:color="auto"/>
              <w:left w:val="nil"/>
              <w:bottom w:val="single" w:sz="4" w:space="0" w:color="auto"/>
              <w:right w:val="single" w:sz="4" w:space="0" w:color="auto"/>
            </w:tcBorders>
            <w:shd w:val="clear" w:color="auto" w:fill="auto"/>
          </w:tcPr>
          <w:p w:rsidR="00900922" w:rsidRPr="00BC40BB" w:rsidRDefault="00900922" w:rsidP="00900922">
            <w:pPr>
              <w:jc w:val="right"/>
              <w:rPr>
                <w:rFonts w:ascii="Arial" w:hAnsi="Arial" w:cs="Arial"/>
                <w:sz w:val="17"/>
                <w:szCs w:val="17"/>
              </w:rPr>
            </w:pPr>
            <w:r w:rsidRPr="00BC40BB">
              <w:rPr>
                <w:rFonts w:ascii="Arial" w:hAnsi="Arial" w:cs="Arial"/>
                <w:sz w:val="17"/>
                <w:szCs w:val="17"/>
              </w:rPr>
              <w:t>1,690,288</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9D4479" w:rsidRDefault="00900922" w:rsidP="00900922">
            <w:pPr>
              <w:ind w:left="709"/>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sz w:val="17"/>
                <w:szCs w:val="17"/>
              </w:rPr>
            </w:pPr>
            <w:r w:rsidRPr="00900922">
              <w:rPr>
                <w:rFonts w:ascii="Arial" w:hAnsi="Arial" w:cs="Arial"/>
                <w:sz w:val="17"/>
                <w:szCs w:val="17"/>
              </w:rPr>
              <w:t>34,308,586</w:t>
            </w:r>
          </w:p>
        </w:tc>
        <w:tc>
          <w:tcPr>
            <w:tcW w:w="2180" w:type="dxa"/>
            <w:tcBorders>
              <w:top w:val="single" w:sz="4" w:space="0" w:color="auto"/>
              <w:left w:val="nil"/>
              <w:bottom w:val="single" w:sz="4" w:space="0" w:color="auto"/>
              <w:right w:val="single" w:sz="4" w:space="0" w:color="auto"/>
            </w:tcBorders>
            <w:shd w:val="clear" w:color="auto" w:fill="auto"/>
          </w:tcPr>
          <w:p w:rsidR="00900922" w:rsidRPr="00BC40BB" w:rsidRDefault="00900922" w:rsidP="00900922">
            <w:pPr>
              <w:jc w:val="right"/>
              <w:rPr>
                <w:rFonts w:ascii="Arial" w:hAnsi="Arial" w:cs="Arial"/>
                <w:sz w:val="17"/>
                <w:szCs w:val="17"/>
              </w:rPr>
            </w:pPr>
            <w:r w:rsidRPr="00BC40BB">
              <w:rPr>
                <w:rFonts w:ascii="Arial" w:hAnsi="Arial" w:cs="Arial"/>
                <w:sz w:val="17"/>
                <w:szCs w:val="17"/>
              </w:rPr>
              <w:t>18,361,385</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9D4479" w:rsidRDefault="00900922" w:rsidP="00900922">
            <w:pPr>
              <w:ind w:left="709"/>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sz w:val="17"/>
                <w:szCs w:val="17"/>
              </w:rPr>
            </w:pPr>
            <w:r w:rsidRPr="00900922">
              <w:rPr>
                <w:rFonts w:ascii="Arial" w:hAnsi="Arial" w:cs="Arial"/>
                <w:sz w:val="17"/>
                <w:szCs w:val="17"/>
              </w:rPr>
              <w:t>729,479</w:t>
            </w:r>
          </w:p>
        </w:tc>
        <w:tc>
          <w:tcPr>
            <w:tcW w:w="2180" w:type="dxa"/>
            <w:tcBorders>
              <w:top w:val="single" w:sz="4" w:space="0" w:color="auto"/>
              <w:left w:val="nil"/>
              <w:bottom w:val="single" w:sz="4" w:space="0" w:color="auto"/>
              <w:right w:val="single" w:sz="4" w:space="0" w:color="auto"/>
            </w:tcBorders>
            <w:shd w:val="clear" w:color="auto" w:fill="auto"/>
          </w:tcPr>
          <w:p w:rsidR="00900922" w:rsidRPr="00BC40BB" w:rsidRDefault="00900922" w:rsidP="00900922">
            <w:pPr>
              <w:jc w:val="right"/>
              <w:rPr>
                <w:rFonts w:ascii="Arial" w:hAnsi="Arial" w:cs="Arial"/>
                <w:sz w:val="17"/>
                <w:szCs w:val="17"/>
              </w:rPr>
            </w:pPr>
            <w:r w:rsidRPr="00BC40BB">
              <w:rPr>
                <w:rFonts w:ascii="Arial" w:hAnsi="Arial" w:cs="Arial"/>
                <w:sz w:val="17"/>
                <w:szCs w:val="17"/>
              </w:rPr>
              <w:t>700,103</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9D4479" w:rsidRDefault="00900922" w:rsidP="00900922">
            <w:pPr>
              <w:ind w:left="709"/>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sz w:val="17"/>
                <w:szCs w:val="17"/>
              </w:rPr>
            </w:pPr>
            <w:r w:rsidRPr="00900922">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900922" w:rsidRPr="00BC40BB" w:rsidRDefault="00900922" w:rsidP="00900922">
            <w:pPr>
              <w:jc w:val="right"/>
              <w:rPr>
                <w:rFonts w:ascii="Arial" w:hAnsi="Arial" w:cs="Arial"/>
                <w:sz w:val="17"/>
                <w:szCs w:val="17"/>
              </w:rPr>
            </w:pPr>
            <w:r w:rsidRPr="00BC40BB">
              <w:rPr>
                <w:rFonts w:ascii="Arial" w:hAnsi="Arial" w:cs="Arial"/>
                <w:sz w:val="17"/>
                <w:szCs w:val="17"/>
              </w:rPr>
              <w:t>29,295</w:t>
            </w:r>
          </w:p>
        </w:tc>
      </w:tr>
      <w:tr w:rsidR="00900922" w:rsidRPr="002D70DA" w:rsidTr="00EC22A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9D4479" w:rsidRDefault="00900922" w:rsidP="00900922">
            <w:pPr>
              <w:ind w:left="709"/>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sz w:val="17"/>
                <w:szCs w:val="17"/>
              </w:rPr>
            </w:pPr>
            <w:r w:rsidRPr="00900922">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900922" w:rsidRPr="000B0333" w:rsidRDefault="00900922" w:rsidP="00900922">
            <w:pPr>
              <w:jc w:val="right"/>
              <w:rPr>
                <w:rFonts w:ascii="Arial" w:hAnsi="Arial" w:cs="Arial"/>
                <w:sz w:val="17"/>
                <w:szCs w:val="17"/>
              </w:rPr>
            </w:pPr>
            <w:r w:rsidRPr="000B0333">
              <w:rPr>
                <w:rFonts w:ascii="Arial" w:hAnsi="Arial" w:cs="Arial"/>
                <w:sz w:val="17"/>
                <w:szCs w:val="17"/>
              </w:rPr>
              <w:t>1,350,867</w:t>
            </w:r>
          </w:p>
        </w:tc>
      </w:tr>
      <w:tr w:rsidR="00900922" w:rsidRPr="002D70DA" w:rsidTr="003F2A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922" w:rsidRPr="009D4479" w:rsidRDefault="00900922" w:rsidP="00900922">
            <w:pPr>
              <w:ind w:left="709"/>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00922" w:rsidRPr="00900922" w:rsidRDefault="00900922" w:rsidP="00900922">
            <w:pPr>
              <w:jc w:val="right"/>
              <w:rPr>
                <w:rFonts w:ascii="Arial" w:hAnsi="Arial" w:cs="Arial"/>
                <w:sz w:val="17"/>
                <w:szCs w:val="17"/>
              </w:rPr>
            </w:pPr>
            <w:r w:rsidRPr="00900922">
              <w:rPr>
                <w:rFonts w:ascii="Arial" w:hAnsi="Arial" w:cs="Arial"/>
                <w:sz w:val="17"/>
                <w:szCs w:val="17"/>
              </w:rPr>
              <w:t>298,632</w:t>
            </w:r>
          </w:p>
        </w:tc>
        <w:tc>
          <w:tcPr>
            <w:tcW w:w="2180" w:type="dxa"/>
            <w:tcBorders>
              <w:top w:val="single" w:sz="4" w:space="0" w:color="auto"/>
              <w:left w:val="nil"/>
              <w:bottom w:val="single" w:sz="4" w:space="0" w:color="auto"/>
              <w:right w:val="single" w:sz="4" w:space="0" w:color="auto"/>
            </w:tcBorders>
            <w:shd w:val="clear" w:color="auto" w:fill="auto"/>
          </w:tcPr>
          <w:p w:rsidR="00900922" w:rsidRPr="00BC40BB" w:rsidRDefault="00900922" w:rsidP="00900922">
            <w:pPr>
              <w:jc w:val="right"/>
              <w:rPr>
                <w:rFonts w:ascii="Arial" w:hAnsi="Arial" w:cs="Arial"/>
                <w:sz w:val="17"/>
                <w:szCs w:val="17"/>
              </w:rPr>
            </w:pPr>
            <w:r w:rsidRPr="00BC40BB">
              <w:rPr>
                <w:rFonts w:ascii="Arial" w:hAnsi="Arial" w:cs="Arial"/>
                <w:sz w:val="17"/>
                <w:szCs w:val="17"/>
              </w:rPr>
              <w:t>513,912</w:t>
            </w:r>
          </w:p>
        </w:tc>
      </w:tr>
      <w:tr w:rsidR="00900922" w:rsidRPr="002D70DA" w:rsidTr="003F2A85">
        <w:trPr>
          <w:trHeight w:val="240"/>
          <w:jc w:val="center"/>
        </w:trPr>
        <w:tc>
          <w:tcPr>
            <w:tcW w:w="4900" w:type="dxa"/>
            <w:tcBorders>
              <w:top w:val="nil"/>
              <w:left w:val="nil"/>
              <w:bottom w:val="nil"/>
              <w:right w:val="single" w:sz="4" w:space="0" w:color="auto"/>
            </w:tcBorders>
            <w:shd w:val="clear" w:color="000000" w:fill="FFFFFF"/>
            <w:vAlign w:val="center"/>
            <w:hideMark/>
          </w:tcPr>
          <w:p w:rsidR="00900922" w:rsidRPr="002D70DA" w:rsidRDefault="00900922" w:rsidP="0090092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900922" w:rsidRPr="00900922" w:rsidRDefault="00091CF7" w:rsidP="00900922">
            <w:pPr>
              <w:jc w:val="right"/>
              <w:rPr>
                <w:rFonts w:ascii="Arial" w:hAnsi="Arial" w:cs="Arial"/>
                <w:b/>
                <w:sz w:val="17"/>
                <w:szCs w:val="17"/>
              </w:rPr>
            </w:pPr>
            <w:r w:rsidRPr="00091CF7">
              <w:rPr>
                <w:rFonts w:ascii="Arial" w:hAnsi="Arial" w:cs="Arial"/>
                <w:b/>
                <w:sz w:val="17"/>
                <w:szCs w:val="17"/>
              </w:rPr>
              <w:t>266,306,662</w:t>
            </w:r>
          </w:p>
        </w:tc>
        <w:tc>
          <w:tcPr>
            <w:tcW w:w="2180" w:type="dxa"/>
            <w:tcBorders>
              <w:top w:val="nil"/>
              <w:left w:val="single" w:sz="4" w:space="0" w:color="auto"/>
              <w:bottom w:val="single" w:sz="4" w:space="0" w:color="auto"/>
              <w:right w:val="single" w:sz="4" w:space="0" w:color="auto"/>
            </w:tcBorders>
            <w:shd w:val="clear" w:color="000000" w:fill="FFFFFF"/>
            <w:hideMark/>
          </w:tcPr>
          <w:p w:rsidR="00900922" w:rsidRPr="00900922" w:rsidRDefault="00900922" w:rsidP="00900922">
            <w:pPr>
              <w:jc w:val="right"/>
              <w:rPr>
                <w:rFonts w:ascii="Arial" w:hAnsi="Arial" w:cs="Arial"/>
                <w:b/>
                <w:sz w:val="17"/>
                <w:szCs w:val="17"/>
              </w:rPr>
            </w:pPr>
            <w:r w:rsidRPr="00900922">
              <w:rPr>
                <w:rFonts w:ascii="Arial" w:hAnsi="Arial" w:cs="Arial"/>
                <w:b/>
                <w:sz w:val="17"/>
                <w:szCs w:val="17"/>
              </w:rPr>
              <w:t>779,371,951</w:t>
            </w:r>
          </w:p>
        </w:tc>
      </w:tr>
    </w:tbl>
    <w:p w:rsidR="00825F4C" w:rsidRDefault="00825F4C" w:rsidP="00825F4C">
      <w:pPr>
        <w:ind w:firstLine="360"/>
        <w:rPr>
          <w:rFonts w:ascii="Arial" w:hAnsi="Arial" w:cs="Arial"/>
          <w:sz w:val="17"/>
          <w:szCs w:val="17"/>
        </w:rPr>
      </w:pPr>
    </w:p>
    <w:p w:rsidR="00292BA3" w:rsidRDefault="00292BA3">
      <w:pPr>
        <w:rPr>
          <w:rFonts w:ascii="Arial" w:hAnsi="Arial" w:cs="Arial"/>
          <w:sz w:val="17"/>
          <w:szCs w:val="17"/>
        </w:rPr>
      </w:pPr>
      <w:r>
        <w:rPr>
          <w:rFonts w:ascii="Arial" w:hAnsi="Arial" w:cs="Arial"/>
          <w:sz w:val="17"/>
          <w:szCs w:val="17"/>
        </w:rPr>
        <w:br w:type="page"/>
      </w:r>
    </w:p>
    <w:p w:rsidR="00BC0DE0" w:rsidRPr="002D70DA" w:rsidRDefault="00BC0DE0" w:rsidP="0081239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82811">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F165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2D70DA" w:rsidRDefault="00511E0B" w:rsidP="00603D16">
            <w:pPr>
              <w:rPr>
                <w:rFonts w:ascii="Arial" w:hAnsi="Arial" w:cs="Arial"/>
                <w:b/>
                <w:bCs/>
                <w:color w:val="000000"/>
                <w:sz w:val="17"/>
                <w:szCs w:val="17"/>
              </w:rPr>
            </w:pPr>
            <w:r w:rsidRPr="00511E0B">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hideMark/>
          </w:tcPr>
          <w:p w:rsidR="00603D16" w:rsidRPr="00FB07DB" w:rsidRDefault="00D03A26" w:rsidP="00603D16">
            <w:pPr>
              <w:jc w:val="right"/>
              <w:rPr>
                <w:rFonts w:ascii="Arial" w:hAnsi="Arial" w:cs="Arial"/>
                <w:b/>
                <w:sz w:val="17"/>
                <w:szCs w:val="17"/>
              </w:rPr>
            </w:pPr>
            <w:r w:rsidRPr="00FB07DB">
              <w:rPr>
                <w:rFonts w:ascii="Arial" w:hAnsi="Arial" w:cs="Arial"/>
                <w:b/>
                <w:sz w:val="17"/>
                <w:szCs w:val="17"/>
              </w:rPr>
              <w:t>-</w:t>
            </w:r>
            <w:r w:rsidR="00511E0B" w:rsidRPr="00511E0B">
              <w:rPr>
                <w:rFonts w:ascii="Arial" w:hAnsi="Arial" w:cs="Arial"/>
                <w:b/>
                <w:sz w:val="17"/>
                <w:szCs w:val="17"/>
              </w:rPr>
              <w:t>134,874,212</w:t>
            </w:r>
          </w:p>
        </w:tc>
      </w:tr>
      <w:tr w:rsidR="00511E0B" w:rsidRPr="002D70DA" w:rsidTr="00EC22A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11E0B" w:rsidRPr="002D70DA" w:rsidRDefault="00511E0B" w:rsidP="00EC22A4">
            <w:pPr>
              <w:rPr>
                <w:rFonts w:ascii="Arial" w:hAnsi="Arial" w:cs="Arial"/>
                <w:b/>
                <w:bCs/>
                <w:color w:val="000000"/>
                <w:sz w:val="17"/>
                <w:szCs w:val="17"/>
              </w:rPr>
            </w:pPr>
            <w:r w:rsidRPr="00511E0B">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hideMark/>
          </w:tcPr>
          <w:p w:rsidR="00511E0B" w:rsidRPr="00FB07DB" w:rsidRDefault="00511E0B" w:rsidP="00EC22A4">
            <w:pPr>
              <w:jc w:val="right"/>
              <w:rPr>
                <w:rFonts w:ascii="Arial" w:hAnsi="Arial" w:cs="Arial"/>
                <w:b/>
                <w:sz w:val="17"/>
                <w:szCs w:val="17"/>
              </w:rPr>
            </w:pPr>
            <w:r w:rsidRPr="00511E0B">
              <w:rPr>
                <w:rFonts w:ascii="Arial" w:hAnsi="Arial" w:cs="Arial"/>
                <w:b/>
                <w:sz w:val="17"/>
                <w:szCs w:val="17"/>
              </w:rPr>
              <w:t>2,775,789</w:t>
            </w:r>
          </w:p>
        </w:tc>
      </w:tr>
      <w:tr w:rsidR="00511E0B" w:rsidRPr="002D70DA" w:rsidTr="00EC22A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11E0B" w:rsidRPr="002D70DA" w:rsidRDefault="00511E0B" w:rsidP="00EC22A4">
            <w:pPr>
              <w:rPr>
                <w:rFonts w:ascii="Arial" w:hAnsi="Arial" w:cs="Arial"/>
                <w:b/>
                <w:bCs/>
                <w:color w:val="000000"/>
                <w:sz w:val="17"/>
                <w:szCs w:val="17"/>
              </w:rPr>
            </w:pPr>
            <w:r w:rsidRPr="00511E0B">
              <w:rPr>
                <w:rFonts w:ascii="Arial" w:hAnsi="Arial" w:cs="Arial"/>
                <w:b/>
                <w:bCs/>
                <w:color w:val="000000"/>
                <w:sz w:val="17"/>
                <w:szCs w:val="17"/>
              </w:rPr>
              <w:t>Actualización de la Hacienda Pública/Patrimonio</w:t>
            </w:r>
            <w:r w:rsidRPr="00511E0B">
              <w:rPr>
                <w:rFonts w:ascii="Arial" w:hAnsi="Arial" w:cs="Arial"/>
                <w:b/>
                <w:bCs/>
                <w:color w:val="000000"/>
                <w:sz w:val="17"/>
                <w:szCs w:val="17"/>
              </w:rPr>
              <w:tab/>
            </w:r>
          </w:p>
        </w:tc>
        <w:tc>
          <w:tcPr>
            <w:tcW w:w="2180" w:type="dxa"/>
            <w:tcBorders>
              <w:top w:val="nil"/>
              <w:left w:val="nil"/>
              <w:bottom w:val="single" w:sz="4" w:space="0" w:color="auto"/>
              <w:right w:val="single" w:sz="4" w:space="0" w:color="auto"/>
            </w:tcBorders>
            <w:shd w:val="clear" w:color="auto" w:fill="auto"/>
            <w:hideMark/>
          </w:tcPr>
          <w:p w:rsidR="00511E0B" w:rsidRPr="00FB07DB" w:rsidRDefault="00511E0B" w:rsidP="00EC22A4">
            <w:pPr>
              <w:jc w:val="right"/>
              <w:rPr>
                <w:rFonts w:ascii="Arial" w:hAnsi="Arial" w:cs="Arial"/>
                <w:b/>
                <w:sz w:val="17"/>
                <w:szCs w:val="17"/>
              </w:rPr>
            </w:pPr>
            <w:r w:rsidRPr="00511E0B">
              <w:rPr>
                <w:rFonts w:ascii="Arial" w:hAnsi="Arial" w:cs="Arial"/>
                <w:b/>
                <w:sz w:val="17"/>
                <w:szCs w:val="17"/>
              </w:rPr>
              <w:t>1,879,126</w:t>
            </w:r>
          </w:p>
        </w:tc>
      </w:tr>
    </w:tbl>
    <w:p w:rsidR="008821E8" w:rsidRDefault="008821E8">
      <w:pPr>
        <w:rPr>
          <w:rFonts w:ascii="Arial" w:eastAsia="Calibri" w:hAnsi="Arial" w:cs="Arial"/>
          <w:spacing w:val="-1"/>
          <w:sz w:val="17"/>
          <w:szCs w:val="17"/>
        </w:rPr>
      </w:pPr>
    </w:p>
    <w:p w:rsidR="00511E0B" w:rsidRDefault="00511E0B" w:rsidP="008821E8">
      <w:pPr>
        <w:ind w:firstLine="709"/>
        <w:rPr>
          <w:rFonts w:ascii="Arial" w:eastAsia="Calibri" w:hAnsi="Arial" w:cs="Arial"/>
          <w:spacing w:val="-1"/>
          <w:sz w:val="17"/>
          <w:szCs w:val="17"/>
        </w:rPr>
      </w:pPr>
    </w:p>
    <w:p w:rsidR="00791E59" w:rsidRDefault="00825F4C" w:rsidP="008821E8">
      <w:pPr>
        <w:ind w:firstLine="709"/>
        <w:rPr>
          <w:rFonts w:ascii="Arial" w:eastAsia="Calibri" w:hAnsi="Arial" w:cs="Arial"/>
          <w:spacing w:val="-1"/>
          <w:sz w:val="17"/>
          <w:szCs w:val="17"/>
        </w:rPr>
      </w:pPr>
      <w:r>
        <w:rPr>
          <w:rFonts w:ascii="Arial" w:eastAsia="Calibri" w:hAnsi="Arial" w:cs="Arial"/>
          <w:spacing w:val="-1"/>
          <w:sz w:val="17"/>
          <w:szCs w:val="17"/>
        </w:rPr>
        <w:t>Destaca la reducci</w:t>
      </w:r>
      <w:r w:rsidR="008821E8">
        <w:rPr>
          <w:rFonts w:ascii="Arial" w:eastAsia="Calibri" w:hAnsi="Arial" w:cs="Arial"/>
          <w:spacing w:val="-1"/>
          <w:sz w:val="17"/>
          <w:szCs w:val="17"/>
        </w:rPr>
        <w:t xml:space="preserve">ón en </w:t>
      </w:r>
      <w:r>
        <w:rPr>
          <w:rFonts w:ascii="Arial" w:eastAsia="Calibri" w:hAnsi="Arial" w:cs="Arial"/>
          <w:spacing w:val="-1"/>
          <w:sz w:val="17"/>
          <w:szCs w:val="17"/>
        </w:rPr>
        <w:t xml:space="preserve">Poder Ejecutivo de los </w:t>
      </w:r>
      <w:r w:rsidR="00CB0C6C" w:rsidRPr="00CB0C6C">
        <w:rPr>
          <w:rFonts w:ascii="Arial" w:eastAsia="Calibri" w:hAnsi="Arial" w:cs="Arial"/>
          <w:spacing w:val="-1"/>
          <w:sz w:val="17"/>
          <w:szCs w:val="17"/>
        </w:rPr>
        <w:t>Bienes Inmuebles e Infraestructura</w:t>
      </w:r>
      <w:r w:rsidR="00CB0C6C">
        <w:rPr>
          <w:rFonts w:ascii="Arial" w:eastAsia="Calibri" w:hAnsi="Arial" w:cs="Arial"/>
          <w:spacing w:val="-1"/>
          <w:sz w:val="17"/>
          <w:szCs w:val="17"/>
        </w:rPr>
        <w:t xml:space="preserve"> </w:t>
      </w:r>
      <w:r w:rsidR="005E6655">
        <w:rPr>
          <w:rFonts w:ascii="Arial" w:eastAsia="Calibri" w:hAnsi="Arial" w:cs="Arial"/>
          <w:spacing w:val="-1"/>
          <w:sz w:val="17"/>
          <w:szCs w:val="17"/>
        </w:rPr>
        <w:t xml:space="preserve">en </w:t>
      </w:r>
      <w:r w:rsidR="005E6655" w:rsidRPr="005E6655">
        <w:rPr>
          <w:rFonts w:ascii="Arial" w:eastAsia="Calibri" w:hAnsi="Arial" w:cs="Arial"/>
          <w:spacing w:val="-1"/>
          <w:sz w:val="17"/>
          <w:szCs w:val="17"/>
        </w:rPr>
        <w:t>la actualización de valor a la unidad de carreteras, puentes y similares</w:t>
      </w:r>
      <w:r w:rsidR="005E6655">
        <w:rPr>
          <w:rFonts w:ascii="Arial" w:eastAsia="Calibri" w:hAnsi="Arial" w:cs="Arial"/>
          <w:spacing w:val="-1"/>
          <w:sz w:val="17"/>
          <w:szCs w:val="17"/>
        </w:rPr>
        <w:t>.</w:t>
      </w:r>
    </w:p>
    <w:p w:rsidR="008821E8" w:rsidRDefault="008821E8" w:rsidP="008821E8">
      <w:pPr>
        <w:ind w:firstLine="709"/>
        <w:rPr>
          <w:rFonts w:ascii="Arial" w:eastAsia="Calibri" w:hAnsi="Arial" w:cs="Arial"/>
          <w:spacing w:val="-1"/>
          <w:sz w:val="17"/>
          <w:szCs w:val="17"/>
        </w:rPr>
      </w:pPr>
    </w:p>
    <w:p w:rsidR="00EE5F35" w:rsidRDefault="00EE5F35" w:rsidP="008821E8">
      <w:pPr>
        <w:ind w:firstLine="709"/>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82811">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1F0730" w:rsidP="008B2E49">
            <w:pPr>
              <w:jc w:val="right"/>
              <w:rPr>
                <w:rFonts w:ascii="Arial" w:hAnsi="Arial" w:cs="Arial"/>
                <w:b/>
                <w:sz w:val="17"/>
                <w:szCs w:val="17"/>
              </w:rPr>
            </w:pPr>
            <w:r w:rsidRPr="001F0730">
              <w:rPr>
                <w:rFonts w:ascii="Arial" w:hAnsi="Arial" w:cs="Arial"/>
                <w:b/>
                <w:sz w:val="17"/>
                <w:szCs w:val="17"/>
              </w:rPr>
              <w:t>1,662,597,186</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1F0730" w:rsidP="008B2E49">
            <w:pPr>
              <w:jc w:val="right"/>
              <w:rPr>
                <w:rFonts w:ascii="Arial" w:hAnsi="Arial" w:cs="Arial"/>
                <w:b/>
                <w:sz w:val="17"/>
                <w:szCs w:val="17"/>
              </w:rPr>
            </w:pPr>
            <w:r w:rsidRPr="001F0730">
              <w:rPr>
                <w:rFonts w:ascii="Arial" w:hAnsi="Arial" w:cs="Arial"/>
                <w:b/>
                <w:sz w:val="17"/>
                <w:szCs w:val="17"/>
              </w:rPr>
              <w:t>3,567,877,561</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Revalúos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1F0730" w:rsidP="008B2E49">
            <w:pPr>
              <w:jc w:val="right"/>
              <w:rPr>
                <w:rFonts w:ascii="Arial" w:hAnsi="Arial" w:cs="Arial"/>
                <w:b/>
                <w:sz w:val="17"/>
                <w:szCs w:val="17"/>
              </w:rPr>
            </w:pPr>
            <w:r w:rsidRPr="001F0730">
              <w:rPr>
                <w:rFonts w:ascii="Arial" w:hAnsi="Arial" w:cs="Arial"/>
                <w:b/>
                <w:sz w:val="17"/>
                <w:szCs w:val="17"/>
              </w:rPr>
              <w:t>3,979,976,480</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1F0730" w:rsidP="008B2E49">
            <w:pPr>
              <w:jc w:val="right"/>
              <w:rPr>
                <w:rFonts w:ascii="Arial" w:hAnsi="Arial" w:cs="Arial"/>
                <w:b/>
                <w:sz w:val="17"/>
                <w:szCs w:val="17"/>
              </w:rPr>
            </w:pPr>
            <w:r w:rsidRPr="001F0730">
              <w:rPr>
                <w:rFonts w:ascii="Arial" w:hAnsi="Arial" w:cs="Arial"/>
                <w:b/>
                <w:sz w:val="17"/>
                <w:szCs w:val="17"/>
              </w:rPr>
              <w:t>-2,031,383,529</w:t>
            </w:r>
          </w:p>
        </w:tc>
      </w:tr>
    </w:tbl>
    <w:p w:rsidR="00EE5F35" w:rsidRDefault="00EE5F35">
      <w:pPr>
        <w:rPr>
          <w:rFonts w:ascii="Arial" w:eastAsia="Calibri" w:hAnsi="Arial" w:cs="Arial"/>
          <w:spacing w:val="-1"/>
          <w:sz w:val="17"/>
          <w:szCs w:val="17"/>
        </w:rPr>
      </w:pPr>
    </w:p>
    <w:p w:rsidR="00C462F7" w:rsidRPr="002D70DA" w:rsidRDefault="00C462F7" w:rsidP="00EE5F3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81239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582811" w:rsidP="00C91571">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582811" w:rsidP="00C91571">
            <w:pPr>
              <w:jc w:val="center"/>
              <w:rPr>
                <w:rFonts w:ascii="Arial" w:hAnsi="Arial" w:cs="Arial"/>
                <w:b/>
                <w:bCs/>
                <w:color w:val="000000"/>
                <w:sz w:val="17"/>
                <w:szCs w:val="17"/>
              </w:rPr>
            </w:pPr>
            <w:r>
              <w:rPr>
                <w:rFonts w:ascii="Arial" w:hAnsi="Arial" w:cs="Arial"/>
                <w:b/>
                <w:bCs/>
                <w:color w:val="000000"/>
                <w:sz w:val="17"/>
                <w:szCs w:val="17"/>
              </w:rPr>
              <w:t>2016</w:t>
            </w:r>
          </w:p>
        </w:tc>
      </w:tr>
      <w:tr w:rsidR="00163415"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63415" w:rsidRPr="002D70DA" w:rsidRDefault="00163415" w:rsidP="00163415">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352,576 </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2,666,513 </w:t>
            </w:r>
          </w:p>
        </w:tc>
      </w:tr>
      <w:tr w:rsidR="00163415"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63415" w:rsidRPr="002D70DA" w:rsidRDefault="00163415" w:rsidP="00163415">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5,454,799,837 </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3,807,836,549 </w:t>
            </w:r>
          </w:p>
        </w:tc>
      </w:tr>
      <w:tr w:rsidR="00163415"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63415" w:rsidRPr="002D70DA" w:rsidRDefault="00163415" w:rsidP="00163415">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7,536,845 </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56,508,691 </w:t>
            </w:r>
          </w:p>
        </w:tc>
      </w:tr>
      <w:tr w:rsidR="00163415"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63415" w:rsidRPr="002D70DA" w:rsidRDefault="00163415" w:rsidP="00163415">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1,582,618,714 </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2,247,081,536 </w:t>
            </w:r>
          </w:p>
        </w:tc>
      </w:tr>
      <w:tr w:rsidR="00163415" w:rsidRPr="002D70DA" w:rsidTr="003F2A8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63415" w:rsidRPr="002D70DA" w:rsidRDefault="00163415" w:rsidP="00163415">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0 </w:t>
            </w:r>
          </w:p>
        </w:tc>
      </w:tr>
      <w:tr w:rsidR="00163415" w:rsidRPr="002D70DA" w:rsidTr="003F2A8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63415" w:rsidRPr="002D70DA" w:rsidRDefault="00163415" w:rsidP="00163415">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42,973,864 </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44,762,836 </w:t>
            </w:r>
          </w:p>
        </w:tc>
      </w:tr>
      <w:tr w:rsidR="00163415" w:rsidRPr="002D70DA" w:rsidTr="003F2A8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63415" w:rsidRPr="002D70DA" w:rsidRDefault="00163415" w:rsidP="00163415">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163415" w:rsidRPr="00163415" w:rsidRDefault="00163415" w:rsidP="00163415">
            <w:pPr>
              <w:jc w:val="right"/>
              <w:rPr>
                <w:rFonts w:ascii="Arial" w:hAnsi="Arial" w:cs="Arial"/>
                <w:sz w:val="17"/>
                <w:szCs w:val="17"/>
              </w:rPr>
            </w:pPr>
            <w:r w:rsidRPr="00163415">
              <w:rPr>
                <w:rFonts w:ascii="Arial" w:hAnsi="Arial" w:cs="Arial"/>
                <w:sz w:val="17"/>
                <w:szCs w:val="17"/>
              </w:rPr>
              <w:t xml:space="preserve">21,856,662 </w:t>
            </w:r>
          </w:p>
        </w:tc>
      </w:tr>
      <w:tr w:rsidR="00163415" w:rsidRPr="002D70DA" w:rsidTr="008379C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63415" w:rsidRPr="002D70DA" w:rsidRDefault="00163415" w:rsidP="00163415">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163415" w:rsidRPr="002D70DA" w:rsidRDefault="00163415" w:rsidP="00163415">
            <w:pPr>
              <w:jc w:val="right"/>
              <w:rPr>
                <w:rFonts w:ascii="Arial" w:hAnsi="Arial" w:cs="Arial"/>
                <w:b/>
                <w:bCs/>
                <w:color w:val="000000"/>
                <w:sz w:val="17"/>
                <w:szCs w:val="17"/>
              </w:rPr>
            </w:pPr>
            <w:r w:rsidRPr="00163415">
              <w:rPr>
                <w:rFonts w:ascii="Arial" w:hAnsi="Arial" w:cs="Arial"/>
                <w:b/>
                <w:bCs/>
                <w:color w:val="000000"/>
                <w:sz w:val="17"/>
                <w:szCs w:val="17"/>
                <w14:numForm w14:val="lining"/>
              </w:rPr>
              <w:t>7,088,281,836</w:t>
            </w:r>
          </w:p>
        </w:tc>
        <w:tc>
          <w:tcPr>
            <w:tcW w:w="2180" w:type="dxa"/>
            <w:tcBorders>
              <w:top w:val="nil"/>
              <w:left w:val="nil"/>
              <w:bottom w:val="single" w:sz="4" w:space="0" w:color="auto"/>
              <w:right w:val="single" w:sz="4" w:space="0" w:color="auto"/>
            </w:tcBorders>
            <w:shd w:val="clear" w:color="000000" w:fill="FFFFFF"/>
            <w:vAlign w:val="center"/>
            <w:hideMark/>
          </w:tcPr>
          <w:p w:rsidR="00163415" w:rsidRPr="002D70DA" w:rsidRDefault="00163415" w:rsidP="00163415">
            <w:pPr>
              <w:jc w:val="right"/>
              <w:rPr>
                <w:rFonts w:ascii="Arial" w:hAnsi="Arial" w:cs="Arial"/>
                <w:b/>
                <w:bCs/>
                <w:color w:val="000000"/>
                <w:sz w:val="17"/>
                <w:szCs w:val="17"/>
              </w:rPr>
            </w:pPr>
            <w:r w:rsidRPr="00163415">
              <w:rPr>
                <w:rFonts w:ascii="Arial" w:hAnsi="Arial" w:cs="Arial"/>
                <w:b/>
                <w:bCs/>
                <w:color w:val="000000"/>
                <w:sz w:val="17"/>
                <w:szCs w:val="17"/>
                <w14:numForm w14:val="lining"/>
              </w:rPr>
              <w:t>6,180,712,787</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82811">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82811">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6C65CA">
            <w:pPr>
              <w:jc w:val="right"/>
              <w:rPr>
                <w:rFonts w:ascii="Arial" w:hAnsi="Arial" w:cs="Arial"/>
                <w:b/>
                <w:bCs/>
                <w:color w:val="000000"/>
                <w:sz w:val="17"/>
                <w:szCs w:val="17"/>
              </w:rPr>
            </w:pPr>
            <w:r w:rsidRPr="006C65CA">
              <w:rPr>
                <w:rFonts w:ascii="Arial" w:hAnsi="Arial" w:cs="Arial"/>
                <w:b/>
                <w:bCs/>
                <w:color w:val="000000"/>
                <w:sz w:val="17"/>
                <w:szCs w:val="17"/>
              </w:rPr>
              <w:t>786,459,521</w:t>
            </w:r>
          </w:p>
        </w:tc>
        <w:tc>
          <w:tcPr>
            <w:tcW w:w="2180" w:type="dxa"/>
            <w:tcBorders>
              <w:top w:val="nil"/>
              <w:left w:val="nil"/>
              <w:bottom w:val="single" w:sz="4" w:space="0" w:color="auto"/>
              <w:right w:val="single" w:sz="4" w:space="0" w:color="auto"/>
            </w:tcBorders>
            <w:shd w:val="clear" w:color="auto" w:fill="auto"/>
            <w:vAlign w:val="center"/>
            <w:hideMark/>
          </w:tcPr>
          <w:p w:rsidR="00DF74BA" w:rsidRPr="002D70DA" w:rsidRDefault="00111281">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nil"/>
              <w:left w:val="nil"/>
              <w:bottom w:val="single" w:sz="4" w:space="0" w:color="auto"/>
              <w:right w:val="single" w:sz="4" w:space="0" w:color="auto"/>
            </w:tcBorders>
            <w:shd w:val="clear" w:color="auto" w:fill="auto"/>
            <w:vAlign w:val="center"/>
            <w:hideMark/>
          </w:tcPr>
          <w:p w:rsidR="00DF74BA" w:rsidRPr="002D70DA" w:rsidRDefault="006C65CA">
            <w:pPr>
              <w:jc w:val="right"/>
              <w:rPr>
                <w:rFonts w:ascii="Arial" w:hAnsi="Arial" w:cs="Arial"/>
                <w:b/>
                <w:bCs/>
                <w:color w:val="000000"/>
                <w:sz w:val="17"/>
                <w:szCs w:val="17"/>
              </w:rPr>
            </w:pPr>
            <w:r w:rsidRPr="006C65CA">
              <w:rPr>
                <w:rFonts w:ascii="Arial" w:hAnsi="Arial" w:cs="Arial"/>
                <w:b/>
                <w:bCs/>
                <w:color w:val="000000"/>
                <w:sz w:val="17"/>
                <w:szCs w:val="17"/>
              </w:rPr>
              <w:t>786,459,521</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6C65CA">
            <w:pPr>
              <w:jc w:val="right"/>
              <w:rPr>
                <w:rFonts w:ascii="Arial" w:hAnsi="Arial" w:cs="Arial"/>
                <w:b/>
                <w:bCs/>
                <w:color w:val="000000"/>
                <w:sz w:val="17"/>
                <w:szCs w:val="17"/>
              </w:rPr>
            </w:pPr>
            <w:r w:rsidRPr="006C65CA">
              <w:rPr>
                <w:rFonts w:ascii="Arial" w:hAnsi="Arial" w:cs="Arial"/>
                <w:b/>
                <w:bCs/>
                <w:color w:val="000000"/>
                <w:sz w:val="17"/>
                <w:szCs w:val="17"/>
              </w:rPr>
              <w:t>277,889,861</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6C65CA">
            <w:pPr>
              <w:jc w:val="right"/>
              <w:rPr>
                <w:rFonts w:ascii="Arial" w:hAnsi="Arial" w:cs="Arial"/>
                <w:b/>
                <w:bCs/>
                <w:color w:val="000000"/>
                <w:sz w:val="17"/>
                <w:szCs w:val="17"/>
              </w:rPr>
            </w:pPr>
            <w:r w:rsidRPr="006C65CA">
              <w:rPr>
                <w:rFonts w:ascii="Arial" w:hAnsi="Arial" w:cs="Arial"/>
                <w:b/>
                <w:bCs/>
                <w:color w:val="000000"/>
                <w:sz w:val="17"/>
                <w:szCs w:val="17"/>
              </w:rPr>
              <w:t>277,889,861</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6A5F13" w:rsidRDefault="006A5F13" w:rsidP="006A5F13">
      <w:pPr>
        <w:numPr>
          <w:ilvl w:val="0"/>
          <w:numId w:val="14"/>
        </w:numPr>
        <w:autoSpaceDE w:val="0"/>
        <w:autoSpaceDN w:val="0"/>
        <w:adjustRightInd w:val="0"/>
        <w:spacing w:before="240" w:after="120"/>
        <w:jc w:val="center"/>
        <w:rPr>
          <w:rFonts w:ascii="Arial" w:hAnsi="Arial" w:cs="Arial"/>
          <w:b/>
          <w:sz w:val="17"/>
          <w:szCs w:val="17"/>
        </w:rPr>
      </w:pPr>
      <w:r>
        <w:rPr>
          <w:rFonts w:ascii="Arial" w:hAnsi="Arial" w:cs="Arial"/>
          <w:b/>
          <w:sz w:val="17"/>
          <w:szCs w:val="17"/>
        </w:rPr>
        <w:lastRenderedPageBreak/>
        <w:t>Notas de Memoria:</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Las cuentas que se manejan para efectos de estas Notas son las siguientes: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Cuentas de Orden Contables y Presupuestarias: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Contables: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b/>
        <w:t>Valores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b/>
        <w:t>Emisión de obligaciones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b/>
        <w:t>Avales y garantías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b/>
        <w:t>Juicios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b/>
        <w:t>Contratos para Inversión Mediante Proyectos para Prestación de Servicios (PPS) y Similares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b/>
        <w:t>Bienes concesionados o en comodato</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Presupuestarias: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b/>
        <w:t>Cuentas de ingresos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b/>
        <w:t>Cuentas de egresos</w:t>
      </w:r>
    </w:p>
    <w:p w:rsidR="006A5F13" w:rsidRDefault="006A5F13" w:rsidP="006A5F13">
      <w:pPr>
        <w:spacing w:before="80" w:line="250" w:lineRule="exact"/>
        <w:ind w:left="709"/>
        <w:jc w:val="both"/>
        <w:rPr>
          <w:rFonts w:ascii="Arial" w:eastAsia="Calibri" w:hAnsi="Arial" w:cs="Arial"/>
          <w:spacing w:val="-1"/>
          <w:sz w:val="17"/>
          <w:szCs w:val="17"/>
        </w:rPr>
      </w:pP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Se informa, de manera agrupada, las cuentas de orden contables y cuentas de orden presupuestario:</w:t>
      </w:r>
    </w:p>
    <w:p w:rsidR="006A5F13" w:rsidRDefault="006A5F13" w:rsidP="006A5F13">
      <w:pPr>
        <w:pStyle w:val="Prrafodelista"/>
        <w:numPr>
          <w:ilvl w:val="0"/>
          <w:numId w:val="15"/>
        </w:num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contables</w:t>
      </w:r>
    </w:p>
    <w:p w:rsidR="006A5F13" w:rsidRDefault="006A5F13" w:rsidP="006A5F13">
      <w:pPr>
        <w:autoSpaceDE w:val="0"/>
        <w:autoSpaceDN w:val="0"/>
        <w:adjustRightInd w:val="0"/>
        <w:spacing w:before="240" w:after="120"/>
        <w:jc w:val="center"/>
        <w:rPr>
          <w:rFonts w:ascii="Arial" w:eastAsia="Calibri" w:hAnsi="Arial" w:cs="Arial"/>
          <w:b/>
          <w:spacing w:val="-1"/>
          <w:sz w:val="17"/>
          <w:szCs w:val="17"/>
        </w:rPr>
      </w:pPr>
      <w:r>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A5F13" w:rsidTr="006A5F13">
        <w:trPr>
          <w:trHeight w:val="240"/>
          <w:jc w:val="center"/>
        </w:trPr>
        <w:tc>
          <w:tcPr>
            <w:tcW w:w="490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C. Avales y Garantías:</w:t>
            </w:r>
          </w:p>
        </w:tc>
        <w:tc>
          <w:tcPr>
            <w:tcW w:w="218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 </w:t>
            </w:r>
          </w:p>
        </w:tc>
        <w:tc>
          <w:tcPr>
            <w:tcW w:w="218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 </w:t>
            </w:r>
          </w:p>
        </w:tc>
        <w:tc>
          <w:tcPr>
            <w:tcW w:w="218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 </w:t>
            </w:r>
          </w:p>
        </w:tc>
        <w:tc>
          <w:tcPr>
            <w:tcW w:w="218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 </w:t>
            </w:r>
          </w:p>
        </w:tc>
      </w:tr>
      <w:tr w:rsidR="006A5F13" w:rsidTr="006A5F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VENCIMIENTO</w:t>
            </w:r>
          </w:p>
        </w:tc>
      </w:tr>
      <w:tr w:rsidR="006A5F13" w:rsidTr="006A5F13">
        <w:trPr>
          <w:trHeight w:val="240"/>
          <w:jc w:val="center"/>
        </w:trPr>
        <w:tc>
          <w:tcPr>
            <w:tcW w:w="4900" w:type="dxa"/>
            <w:tcBorders>
              <w:top w:val="nil"/>
              <w:left w:val="single" w:sz="4" w:space="0" w:color="auto"/>
              <w:bottom w:val="nil"/>
              <w:right w:val="single" w:sz="4" w:space="0" w:color="auto"/>
            </w:tcBorders>
            <w:vAlign w:val="center"/>
            <w:hideMark/>
          </w:tcPr>
          <w:p w:rsidR="006A5F13" w:rsidRDefault="006A5F13">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nil"/>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Aval deuda CEA</w:t>
            </w:r>
          </w:p>
        </w:tc>
        <w:tc>
          <w:tcPr>
            <w:tcW w:w="2180" w:type="dxa"/>
            <w:tcBorders>
              <w:top w:val="nil"/>
              <w:left w:val="nil"/>
              <w:bottom w:val="nil"/>
              <w:right w:val="single" w:sz="4" w:space="0" w:color="auto"/>
            </w:tcBorders>
            <w:vAlign w:val="center"/>
            <w:hideMark/>
          </w:tcPr>
          <w:p w:rsidR="006A5F13" w:rsidRDefault="006A5F13">
            <w:pPr>
              <w:jc w:val="right"/>
              <w:rPr>
                <w:rFonts w:ascii="Calibri" w:hAnsi="Calibri"/>
                <w:bCs/>
                <w:color w:val="000000"/>
                <w:sz w:val="18"/>
                <w:szCs w:val="18"/>
              </w:rPr>
            </w:pPr>
            <w:r>
              <w:rPr>
                <w:rFonts w:ascii="Calibri" w:hAnsi="Calibri"/>
                <w:bCs/>
                <w:color w:val="000000"/>
                <w:sz w:val="18"/>
                <w:szCs w:val="18"/>
              </w:rPr>
              <w:t>72,395,079</w:t>
            </w:r>
          </w:p>
        </w:tc>
        <w:tc>
          <w:tcPr>
            <w:tcW w:w="2180" w:type="dxa"/>
            <w:tcBorders>
              <w:top w:val="nil"/>
              <w:left w:val="nil"/>
              <w:bottom w:val="nil"/>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TIIE + 1.70</w:t>
            </w:r>
          </w:p>
        </w:tc>
        <w:tc>
          <w:tcPr>
            <w:tcW w:w="2180" w:type="dxa"/>
            <w:tcBorders>
              <w:top w:val="nil"/>
              <w:left w:val="nil"/>
              <w:bottom w:val="nil"/>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23/10/2027</w:t>
            </w:r>
          </w:p>
        </w:tc>
      </w:tr>
      <w:tr w:rsidR="006A5F13" w:rsidTr="006A5F13">
        <w:trPr>
          <w:trHeight w:val="240"/>
          <w:jc w:val="center"/>
        </w:trPr>
        <w:tc>
          <w:tcPr>
            <w:tcW w:w="4900" w:type="dxa"/>
            <w:tcBorders>
              <w:top w:val="nil"/>
              <w:left w:val="single" w:sz="4" w:space="0" w:color="auto"/>
              <w:bottom w:val="single" w:sz="4" w:space="0" w:color="auto"/>
              <w:right w:val="single" w:sz="4" w:space="0" w:color="auto"/>
            </w:tcBorders>
            <w:vAlign w:val="center"/>
            <w:hideMark/>
          </w:tcPr>
          <w:p w:rsidR="006A5F13" w:rsidRDefault="006A5F13">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Contrato BANOBRAS</w:t>
            </w:r>
          </w:p>
        </w:tc>
        <w:tc>
          <w:tcPr>
            <w:tcW w:w="2180" w:type="dxa"/>
            <w:tcBorders>
              <w:top w:val="nil"/>
              <w:left w:val="nil"/>
              <w:bottom w:val="single" w:sz="4" w:space="0" w:color="auto"/>
              <w:right w:val="single" w:sz="4" w:space="0" w:color="auto"/>
            </w:tcBorders>
            <w:vAlign w:val="center"/>
            <w:hideMark/>
          </w:tcPr>
          <w:p w:rsidR="006A5F13" w:rsidRDefault="006A5F13">
            <w:pPr>
              <w:jc w:val="right"/>
              <w:rPr>
                <w:rFonts w:ascii="Calibri" w:hAnsi="Calibri"/>
                <w:bCs/>
                <w:color w:val="000000"/>
                <w:sz w:val="18"/>
                <w:szCs w:val="18"/>
              </w:rPr>
            </w:pPr>
            <w:r>
              <w:rPr>
                <w:rFonts w:ascii="Calibri" w:hAnsi="Calibri"/>
                <w:bCs/>
                <w:color w:val="000000"/>
                <w:sz w:val="18"/>
                <w:szCs w:val="18"/>
              </w:rPr>
              <w:t>65,842,628</w:t>
            </w:r>
          </w:p>
        </w:tc>
        <w:tc>
          <w:tcPr>
            <w:tcW w:w="2180" w:type="dxa"/>
            <w:tcBorders>
              <w:top w:val="nil"/>
              <w:left w:val="nil"/>
              <w:bottom w:val="single" w:sz="4" w:space="0" w:color="auto"/>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TIIE + 2.77</w:t>
            </w:r>
          </w:p>
        </w:tc>
        <w:tc>
          <w:tcPr>
            <w:tcW w:w="2180" w:type="dxa"/>
            <w:tcBorders>
              <w:top w:val="nil"/>
              <w:left w:val="nil"/>
              <w:bottom w:val="single" w:sz="4" w:space="0" w:color="auto"/>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01/09/2035</w:t>
            </w:r>
          </w:p>
        </w:tc>
      </w:tr>
    </w:tbl>
    <w:p w:rsidR="006A5F13" w:rsidRDefault="006A5F13" w:rsidP="006A5F13">
      <w:pPr>
        <w:pStyle w:val="Prrafodelista"/>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t>Representa un importe de hasta 72,395,079 por concepto de contraprestación de servicio del Acueducto II, por el ejercicio fiscal siguiente.</w:t>
      </w:r>
    </w:p>
    <w:p w:rsidR="006A5F13" w:rsidRDefault="006A5F13" w:rsidP="006A5F13">
      <w:pPr>
        <w:spacing w:before="80" w:line="250" w:lineRule="exact"/>
        <w:ind w:left="360"/>
        <w:jc w:val="both"/>
        <w:rPr>
          <w:rFonts w:ascii="Arial" w:eastAsia="Calibri" w:hAnsi="Arial" w:cs="Arial"/>
          <w:spacing w:val="-1"/>
          <w:sz w:val="17"/>
          <w:szCs w:val="17"/>
        </w:rPr>
      </w:pPr>
    </w:p>
    <w:p w:rsidR="006A5F13" w:rsidRDefault="006A5F13" w:rsidP="006A5F13">
      <w:pPr>
        <w:pStyle w:val="Prrafodelista"/>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t>Contrato de crédito para cubrir al Desarrollador Inmobiliario una determinada cantidad de dinero como contraprestación para el caso de que los edificios construidos por este último en el Parque Aeroespacial de Querétaro dejen de generar rentas por no tener arrendatario, siempre que no sea por causa imputable al Desarrollador Inmobiliario, con la finalidad de que este último recupere parcialmente la inversión realizada por la construcción de inmuebles en terrenos del Poder Ejecutivo del Estado de Querétaro, cuyas edificaciones pasarán a ser propiedad de este último, como propietario de los terrenos.</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Atendiendo los lineamientos para el registro auxiliar sujeto a inventario de bienes arqueológicos, artísticos e históricos bajo custodia de los entes públicos a que hace referencia la Ley General de Contabilidad Gubernamental:</w:t>
      </w:r>
    </w:p>
    <w:p w:rsidR="006A5F13" w:rsidRDefault="006A5F13" w:rsidP="006A5F13">
      <w:pPr>
        <w:autoSpaceDE w:val="0"/>
        <w:autoSpaceDN w:val="0"/>
        <w:adjustRightInd w:val="0"/>
        <w:spacing w:before="240" w:after="120"/>
        <w:jc w:val="center"/>
        <w:rPr>
          <w:rFonts w:ascii="Arial" w:eastAsia="Calibri" w:hAnsi="Arial" w:cs="Arial"/>
          <w:b/>
          <w:spacing w:val="-1"/>
          <w:sz w:val="17"/>
          <w:szCs w:val="17"/>
        </w:rPr>
      </w:pPr>
      <w:r>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A5F13" w:rsidTr="006A5F13">
        <w:trPr>
          <w:trHeight w:val="240"/>
          <w:jc w:val="center"/>
        </w:trPr>
        <w:tc>
          <w:tcPr>
            <w:tcW w:w="490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G. Bienes Arqueológicos, Artísticos e Históricos:</w:t>
            </w:r>
          </w:p>
        </w:tc>
        <w:tc>
          <w:tcPr>
            <w:tcW w:w="218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 </w:t>
            </w:r>
          </w:p>
        </w:tc>
        <w:tc>
          <w:tcPr>
            <w:tcW w:w="218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 </w:t>
            </w:r>
          </w:p>
        </w:tc>
      </w:tr>
      <w:tr w:rsidR="006A5F13" w:rsidTr="006A5F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MONTO</w:t>
            </w:r>
          </w:p>
        </w:tc>
      </w:tr>
      <w:tr w:rsidR="006A5F13" w:rsidTr="006A5F13">
        <w:trPr>
          <w:trHeight w:val="240"/>
          <w:jc w:val="center"/>
        </w:trPr>
        <w:tc>
          <w:tcPr>
            <w:tcW w:w="4900" w:type="dxa"/>
            <w:tcBorders>
              <w:top w:val="nil"/>
              <w:left w:val="single" w:sz="4" w:space="0" w:color="auto"/>
              <w:bottom w:val="single" w:sz="4" w:space="0" w:color="auto"/>
              <w:right w:val="single" w:sz="4" w:space="0" w:color="auto"/>
            </w:tcBorders>
            <w:vAlign w:val="center"/>
            <w:hideMark/>
          </w:tcPr>
          <w:p w:rsidR="006A5F13" w:rsidRDefault="006A5F13">
            <w:pPr>
              <w:rPr>
                <w:rFonts w:ascii="Calibri" w:hAnsi="Calibri"/>
                <w:color w:val="000000"/>
                <w:sz w:val="18"/>
                <w:szCs w:val="18"/>
              </w:rPr>
            </w:pPr>
            <w:r>
              <w:rPr>
                <w:rFonts w:ascii="Calibri" w:hAnsi="Calibri"/>
                <w:color w:val="000000"/>
                <w:sz w:val="18"/>
                <w:szCs w:val="18"/>
              </w:rPr>
              <w:t>Bienes Arqueológicos</w:t>
            </w:r>
          </w:p>
        </w:tc>
        <w:tc>
          <w:tcPr>
            <w:tcW w:w="2180" w:type="dxa"/>
            <w:tcBorders>
              <w:top w:val="nil"/>
              <w:left w:val="nil"/>
              <w:bottom w:val="single" w:sz="4" w:space="0" w:color="auto"/>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Arqueológico</w:t>
            </w:r>
          </w:p>
        </w:tc>
        <w:tc>
          <w:tcPr>
            <w:tcW w:w="2180" w:type="dxa"/>
            <w:tcBorders>
              <w:top w:val="nil"/>
              <w:left w:val="nil"/>
              <w:bottom w:val="single" w:sz="4" w:space="0" w:color="auto"/>
              <w:right w:val="single" w:sz="4" w:space="0" w:color="auto"/>
            </w:tcBorders>
            <w:vAlign w:val="center"/>
            <w:hideMark/>
          </w:tcPr>
          <w:p w:rsidR="006A5F13" w:rsidRDefault="006A5F13">
            <w:pPr>
              <w:jc w:val="right"/>
              <w:rPr>
                <w:rFonts w:ascii="Calibri" w:hAnsi="Calibri"/>
                <w:bCs/>
                <w:color w:val="000000"/>
                <w:sz w:val="18"/>
                <w:szCs w:val="18"/>
              </w:rPr>
            </w:pPr>
            <w:r>
              <w:rPr>
                <w:rFonts w:ascii="Calibri" w:hAnsi="Calibri"/>
                <w:bCs/>
                <w:color w:val="000000"/>
                <w:sz w:val="18"/>
                <w:szCs w:val="18"/>
              </w:rPr>
              <w:t>1</w:t>
            </w:r>
          </w:p>
        </w:tc>
      </w:tr>
      <w:tr w:rsidR="006A5F13" w:rsidTr="006A5F13">
        <w:trPr>
          <w:trHeight w:val="240"/>
          <w:jc w:val="center"/>
        </w:trPr>
        <w:tc>
          <w:tcPr>
            <w:tcW w:w="4900" w:type="dxa"/>
            <w:tcBorders>
              <w:top w:val="nil"/>
              <w:left w:val="single" w:sz="4" w:space="0" w:color="auto"/>
              <w:bottom w:val="single" w:sz="4" w:space="0" w:color="auto"/>
              <w:right w:val="single" w:sz="4" w:space="0" w:color="auto"/>
            </w:tcBorders>
            <w:vAlign w:val="center"/>
            <w:hideMark/>
          </w:tcPr>
          <w:p w:rsidR="006A5F13" w:rsidRDefault="006A5F13">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Artístico</w:t>
            </w:r>
          </w:p>
        </w:tc>
        <w:tc>
          <w:tcPr>
            <w:tcW w:w="2180" w:type="dxa"/>
            <w:tcBorders>
              <w:top w:val="nil"/>
              <w:left w:val="nil"/>
              <w:bottom w:val="single" w:sz="4" w:space="0" w:color="auto"/>
              <w:right w:val="single" w:sz="4" w:space="0" w:color="auto"/>
            </w:tcBorders>
            <w:vAlign w:val="center"/>
            <w:hideMark/>
          </w:tcPr>
          <w:p w:rsidR="006A5F13" w:rsidRDefault="006A5F13">
            <w:pPr>
              <w:jc w:val="right"/>
              <w:rPr>
                <w:rFonts w:ascii="Calibri" w:hAnsi="Calibri"/>
                <w:bCs/>
                <w:color w:val="000000"/>
                <w:sz w:val="18"/>
                <w:szCs w:val="18"/>
              </w:rPr>
            </w:pPr>
            <w:r>
              <w:rPr>
                <w:rFonts w:ascii="Calibri" w:hAnsi="Calibri"/>
                <w:bCs/>
                <w:color w:val="000000"/>
                <w:sz w:val="18"/>
                <w:szCs w:val="18"/>
              </w:rPr>
              <w:t>33</w:t>
            </w:r>
          </w:p>
        </w:tc>
      </w:tr>
      <w:tr w:rsidR="006A5F13" w:rsidTr="006A5F13">
        <w:trPr>
          <w:trHeight w:val="240"/>
          <w:jc w:val="center"/>
        </w:trPr>
        <w:tc>
          <w:tcPr>
            <w:tcW w:w="4900" w:type="dxa"/>
            <w:tcBorders>
              <w:top w:val="nil"/>
              <w:left w:val="single" w:sz="4" w:space="0" w:color="auto"/>
              <w:bottom w:val="single" w:sz="4" w:space="0" w:color="auto"/>
              <w:right w:val="single" w:sz="4" w:space="0" w:color="auto"/>
            </w:tcBorders>
            <w:vAlign w:val="center"/>
            <w:hideMark/>
          </w:tcPr>
          <w:p w:rsidR="006A5F13" w:rsidRDefault="006A5F13">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Mueble</w:t>
            </w:r>
          </w:p>
        </w:tc>
        <w:tc>
          <w:tcPr>
            <w:tcW w:w="2180" w:type="dxa"/>
            <w:tcBorders>
              <w:top w:val="nil"/>
              <w:left w:val="nil"/>
              <w:bottom w:val="single" w:sz="4" w:space="0" w:color="auto"/>
              <w:right w:val="single" w:sz="4" w:space="0" w:color="auto"/>
            </w:tcBorders>
            <w:vAlign w:val="center"/>
            <w:hideMark/>
          </w:tcPr>
          <w:p w:rsidR="006A5F13" w:rsidRDefault="006A5F13">
            <w:pPr>
              <w:jc w:val="right"/>
              <w:rPr>
                <w:rFonts w:ascii="Calibri" w:hAnsi="Calibri"/>
                <w:bCs/>
                <w:color w:val="000000"/>
                <w:sz w:val="18"/>
                <w:szCs w:val="18"/>
              </w:rPr>
            </w:pPr>
            <w:r>
              <w:rPr>
                <w:rFonts w:ascii="Calibri" w:hAnsi="Calibri"/>
                <w:bCs/>
                <w:color w:val="000000"/>
                <w:sz w:val="18"/>
                <w:szCs w:val="18"/>
              </w:rPr>
              <w:t>2,109</w:t>
            </w:r>
          </w:p>
        </w:tc>
      </w:tr>
      <w:tr w:rsidR="006A5F13" w:rsidTr="006A5F13">
        <w:trPr>
          <w:trHeight w:val="240"/>
          <w:jc w:val="center"/>
        </w:trPr>
        <w:tc>
          <w:tcPr>
            <w:tcW w:w="4900" w:type="dxa"/>
            <w:tcBorders>
              <w:top w:val="nil"/>
              <w:left w:val="single" w:sz="4" w:space="0" w:color="auto"/>
              <w:bottom w:val="single" w:sz="4" w:space="0" w:color="auto"/>
              <w:right w:val="single" w:sz="4" w:space="0" w:color="auto"/>
            </w:tcBorders>
            <w:vAlign w:val="center"/>
            <w:hideMark/>
          </w:tcPr>
          <w:p w:rsidR="006A5F13" w:rsidRDefault="006A5F13">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Inmuebles</w:t>
            </w:r>
          </w:p>
        </w:tc>
        <w:tc>
          <w:tcPr>
            <w:tcW w:w="2180" w:type="dxa"/>
            <w:tcBorders>
              <w:top w:val="nil"/>
              <w:left w:val="nil"/>
              <w:bottom w:val="single" w:sz="4" w:space="0" w:color="auto"/>
              <w:right w:val="single" w:sz="4" w:space="0" w:color="auto"/>
            </w:tcBorders>
            <w:vAlign w:val="center"/>
            <w:hideMark/>
          </w:tcPr>
          <w:p w:rsidR="006A5F13" w:rsidRDefault="006A5F13">
            <w:pPr>
              <w:jc w:val="right"/>
              <w:rPr>
                <w:rFonts w:ascii="Calibri" w:hAnsi="Calibri"/>
                <w:bCs/>
                <w:color w:val="000000"/>
                <w:sz w:val="18"/>
                <w:szCs w:val="18"/>
              </w:rPr>
            </w:pPr>
            <w:r>
              <w:rPr>
                <w:rFonts w:ascii="Calibri" w:hAnsi="Calibri"/>
                <w:bCs/>
                <w:color w:val="000000"/>
                <w:sz w:val="18"/>
                <w:szCs w:val="18"/>
              </w:rPr>
              <w:t>609,136,629</w:t>
            </w:r>
          </w:p>
        </w:tc>
      </w:tr>
      <w:tr w:rsidR="006A5F13" w:rsidTr="006A5F13">
        <w:trPr>
          <w:trHeight w:val="240"/>
          <w:jc w:val="center"/>
        </w:trPr>
        <w:tc>
          <w:tcPr>
            <w:tcW w:w="4900" w:type="dxa"/>
            <w:tcBorders>
              <w:top w:val="nil"/>
              <w:left w:val="single" w:sz="4" w:space="0" w:color="auto"/>
              <w:bottom w:val="single" w:sz="4" w:space="0" w:color="auto"/>
              <w:right w:val="single" w:sz="4" w:space="0" w:color="auto"/>
            </w:tcBorders>
            <w:vAlign w:val="center"/>
            <w:hideMark/>
          </w:tcPr>
          <w:p w:rsidR="006A5F13" w:rsidRDefault="006A5F13">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Documentos</w:t>
            </w:r>
          </w:p>
        </w:tc>
        <w:tc>
          <w:tcPr>
            <w:tcW w:w="2180" w:type="dxa"/>
            <w:tcBorders>
              <w:top w:val="nil"/>
              <w:left w:val="nil"/>
              <w:bottom w:val="single" w:sz="4" w:space="0" w:color="auto"/>
              <w:right w:val="single" w:sz="4" w:space="0" w:color="auto"/>
            </w:tcBorders>
            <w:vAlign w:val="center"/>
            <w:hideMark/>
          </w:tcPr>
          <w:p w:rsidR="006A5F13" w:rsidRDefault="006A5F13">
            <w:pPr>
              <w:jc w:val="right"/>
              <w:rPr>
                <w:rFonts w:ascii="Calibri" w:hAnsi="Calibri"/>
                <w:bCs/>
                <w:color w:val="000000"/>
                <w:sz w:val="18"/>
                <w:szCs w:val="18"/>
              </w:rPr>
            </w:pPr>
            <w:r>
              <w:rPr>
                <w:rFonts w:ascii="Calibri" w:hAnsi="Calibri"/>
                <w:bCs/>
                <w:color w:val="000000"/>
                <w:sz w:val="18"/>
                <w:szCs w:val="18"/>
              </w:rPr>
              <w:t>2,088</w:t>
            </w:r>
          </w:p>
        </w:tc>
      </w:tr>
    </w:tbl>
    <w:p w:rsidR="006A5F13" w:rsidRDefault="006A5F13" w:rsidP="006A5F13">
      <w:pPr>
        <w:spacing w:before="80" w:line="250" w:lineRule="exact"/>
        <w:ind w:left="709"/>
        <w:jc w:val="both"/>
        <w:rPr>
          <w:rFonts w:ascii="Arial" w:eastAsia="Calibri" w:hAnsi="Arial" w:cs="Arial"/>
          <w:spacing w:val="-1"/>
          <w:sz w:val="17"/>
          <w:szCs w:val="17"/>
        </w:rPr>
      </w:pP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bienes artísticos muebles; bienes históricos muebles; y los bienes históricos, documentos y expedientes, de conformidad a los Lineamientos para el Registro Auxiliar Sujeto a Inventario de Bienes Arqueológicos, Artísticos e Históricos Bajo Custodia de los Entes Públicos emitidos por el Consejo Nacional de Armonización Contable, se registran en cuentas de orden al valor de la unidad monetaria (un peso).</w:t>
      </w: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bienes históricos inmuebles se encuentran registrados a valor catastral.</w:t>
      </w:r>
    </w:p>
    <w:p w:rsidR="006A5F13" w:rsidRDefault="006A5F13" w:rsidP="006A5F13">
      <w:pPr>
        <w:spacing w:before="80" w:line="250" w:lineRule="exact"/>
        <w:ind w:left="709"/>
        <w:jc w:val="both"/>
        <w:rPr>
          <w:rFonts w:ascii="Arial" w:eastAsia="Calibri" w:hAnsi="Arial" w:cs="Arial"/>
          <w:spacing w:val="-1"/>
          <w:sz w:val="17"/>
          <w:szCs w:val="17"/>
        </w:rPr>
      </w:pPr>
    </w:p>
    <w:p w:rsidR="006A5F13" w:rsidRDefault="006A5F13" w:rsidP="006A5F1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 contables:</w:t>
      </w:r>
    </w:p>
    <w:p w:rsidR="006A5F13" w:rsidRDefault="006A5F13" w:rsidP="006A5F13">
      <w:pPr>
        <w:autoSpaceDE w:val="0"/>
        <w:autoSpaceDN w:val="0"/>
        <w:adjustRightInd w:val="0"/>
        <w:spacing w:before="240" w:after="120"/>
        <w:jc w:val="center"/>
        <w:rPr>
          <w:rFonts w:ascii="Arial" w:eastAsia="Calibri" w:hAnsi="Arial" w:cs="Arial"/>
          <w:b/>
          <w:spacing w:val="-1"/>
          <w:sz w:val="17"/>
          <w:szCs w:val="17"/>
        </w:rPr>
      </w:pPr>
      <w:r>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A5F13" w:rsidTr="006A5F13">
        <w:trPr>
          <w:trHeight w:val="240"/>
          <w:jc w:val="center"/>
        </w:trPr>
        <w:tc>
          <w:tcPr>
            <w:tcW w:w="490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H. Otras Cuentas de Orden:</w:t>
            </w:r>
          </w:p>
        </w:tc>
        <w:tc>
          <w:tcPr>
            <w:tcW w:w="218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 </w:t>
            </w:r>
          </w:p>
        </w:tc>
        <w:tc>
          <w:tcPr>
            <w:tcW w:w="218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 </w:t>
            </w:r>
          </w:p>
        </w:tc>
        <w:tc>
          <w:tcPr>
            <w:tcW w:w="2180" w:type="dxa"/>
            <w:shd w:val="clear" w:color="auto" w:fill="FFFFFF"/>
            <w:vAlign w:val="center"/>
            <w:hideMark/>
          </w:tcPr>
          <w:p w:rsidR="006A5F13" w:rsidRDefault="006A5F13">
            <w:pPr>
              <w:rPr>
                <w:rFonts w:ascii="Calibri" w:hAnsi="Calibri"/>
                <w:b/>
                <w:bCs/>
                <w:color w:val="000000"/>
                <w:sz w:val="18"/>
                <w:szCs w:val="18"/>
              </w:rPr>
            </w:pPr>
            <w:r>
              <w:rPr>
                <w:rFonts w:ascii="Calibri" w:hAnsi="Calibri"/>
                <w:b/>
                <w:bCs/>
                <w:color w:val="000000"/>
                <w:sz w:val="18"/>
                <w:szCs w:val="18"/>
              </w:rPr>
              <w:t> </w:t>
            </w:r>
          </w:p>
        </w:tc>
      </w:tr>
      <w:tr w:rsidR="006A5F13" w:rsidTr="006A5F1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A5F13" w:rsidRDefault="006A5F13">
            <w:pPr>
              <w:jc w:val="center"/>
              <w:rPr>
                <w:rFonts w:ascii="Calibri" w:hAnsi="Calibri"/>
                <w:b/>
                <w:bCs/>
                <w:color w:val="000000"/>
                <w:sz w:val="18"/>
                <w:szCs w:val="18"/>
              </w:rPr>
            </w:pPr>
            <w:r>
              <w:rPr>
                <w:rFonts w:ascii="Calibri" w:hAnsi="Calibri"/>
                <w:b/>
                <w:bCs/>
                <w:color w:val="000000"/>
                <w:sz w:val="18"/>
                <w:szCs w:val="18"/>
              </w:rPr>
              <w:t>Observación</w:t>
            </w:r>
          </w:p>
        </w:tc>
      </w:tr>
      <w:tr w:rsidR="006A5F13" w:rsidTr="006A5F13">
        <w:trPr>
          <w:trHeight w:val="240"/>
          <w:jc w:val="center"/>
        </w:trPr>
        <w:tc>
          <w:tcPr>
            <w:tcW w:w="4900" w:type="dxa"/>
            <w:tcBorders>
              <w:top w:val="nil"/>
              <w:left w:val="single" w:sz="4" w:space="0" w:color="auto"/>
              <w:bottom w:val="single" w:sz="4" w:space="0" w:color="auto"/>
              <w:right w:val="single" w:sz="4" w:space="0" w:color="auto"/>
            </w:tcBorders>
            <w:vAlign w:val="center"/>
            <w:hideMark/>
          </w:tcPr>
          <w:p w:rsidR="006A5F13" w:rsidRDefault="006A5F13">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FONE, FAM Potenciado</w:t>
            </w:r>
          </w:p>
        </w:tc>
        <w:tc>
          <w:tcPr>
            <w:tcW w:w="2180" w:type="dxa"/>
            <w:tcBorders>
              <w:top w:val="nil"/>
              <w:left w:val="nil"/>
              <w:bottom w:val="single" w:sz="4" w:space="0" w:color="auto"/>
              <w:right w:val="single" w:sz="4" w:space="0" w:color="auto"/>
            </w:tcBorders>
            <w:vAlign w:val="center"/>
            <w:hideMark/>
          </w:tcPr>
          <w:p w:rsidR="006A5F13" w:rsidRDefault="006A5F13">
            <w:pPr>
              <w:jc w:val="right"/>
              <w:rPr>
                <w:rFonts w:ascii="Calibri" w:hAnsi="Calibri"/>
                <w:bCs/>
                <w:color w:val="000000"/>
                <w:sz w:val="18"/>
                <w:szCs w:val="18"/>
              </w:rPr>
            </w:pPr>
            <w:r>
              <w:rPr>
                <w:rFonts w:ascii="Calibri" w:hAnsi="Calibri"/>
                <w:bCs/>
                <w:color w:val="000000"/>
                <w:sz w:val="18"/>
                <w:szCs w:val="18"/>
              </w:rPr>
              <w:t>267,728,453</w:t>
            </w:r>
          </w:p>
        </w:tc>
        <w:tc>
          <w:tcPr>
            <w:tcW w:w="2180" w:type="dxa"/>
            <w:tcBorders>
              <w:top w:val="nil"/>
              <w:left w:val="nil"/>
              <w:bottom w:val="single" w:sz="4" w:space="0" w:color="auto"/>
              <w:right w:val="single" w:sz="4" w:space="0" w:color="auto"/>
            </w:tcBorders>
            <w:vAlign w:val="center"/>
            <w:hideMark/>
          </w:tcPr>
          <w:p w:rsidR="006A5F13" w:rsidRDefault="006A5F13">
            <w:pPr>
              <w:jc w:val="center"/>
              <w:rPr>
                <w:rFonts w:ascii="Calibri" w:hAnsi="Calibri"/>
                <w:bCs/>
                <w:color w:val="000000"/>
                <w:sz w:val="18"/>
                <w:szCs w:val="18"/>
              </w:rPr>
            </w:pPr>
            <w:r>
              <w:rPr>
                <w:rFonts w:ascii="Calibri" w:hAnsi="Calibri"/>
                <w:bCs/>
                <w:color w:val="000000"/>
                <w:sz w:val="18"/>
                <w:szCs w:val="18"/>
              </w:rPr>
              <w:t>USEBEQ, IIFEQ</w:t>
            </w:r>
          </w:p>
        </w:tc>
      </w:tr>
    </w:tbl>
    <w:p w:rsidR="006A5F13" w:rsidRDefault="006A5F13" w:rsidP="006A5F13">
      <w:pPr>
        <w:rPr>
          <w:rFonts w:ascii="Arial" w:hAnsi="Arial" w:cs="Arial"/>
          <w:b/>
          <w:sz w:val="17"/>
          <w:szCs w:val="17"/>
        </w:rPr>
      </w:pPr>
    </w:p>
    <w:p w:rsidR="006A5F13" w:rsidRDefault="006A5F13" w:rsidP="006A5F13">
      <w:pPr>
        <w:rPr>
          <w:rFonts w:ascii="Arial" w:eastAsia="Calibri" w:hAnsi="Arial" w:cs="Arial"/>
          <w:spacing w:val="-1"/>
          <w:sz w:val="17"/>
          <w:szCs w:val="17"/>
        </w:rPr>
      </w:pPr>
      <w:r>
        <w:rPr>
          <w:rFonts w:ascii="Arial" w:eastAsia="Calibri" w:hAnsi="Arial" w:cs="Arial"/>
          <w:spacing w:val="-1"/>
          <w:sz w:val="17"/>
          <w:szCs w:val="17"/>
        </w:rPr>
        <w:br w:type="page"/>
      </w:r>
    </w:p>
    <w:p w:rsidR="006A5F13" w:rsidRDefault="006A5F13" w:rsidP="006A5F13">
      <w:pPr>
        <w:numPr>
          <w:ilvl w:val="0"/>
          <w:numId w:val="14"/>
        </w:numPr>
        <w:autoSpaceDE w:val="0"/>
        <w:autoSpaceDN w:val="0"/>
        <w:adjustRightInd w:val="0"/>
        <w:spacing w:before="240" w:after="120"/>
        <w:jc w:val="center"/>
        <w:rPr>
          <w:rFonts w:ascii="Arial" w:hAnsi="Arial" w:cs="Arial"/>
          <w:b/>
          <w:sz w:val="17"/>
          <w:szCs w:val="17"/>
        </w:rPr>
      </w:pPr>
      <w:r>
        <w:rPr>
          <w:rFonts w:ascii="Arial" w:hAnsi="Arial" w:cs="Arial"/>
          <w:b/>
          <w:sz w:val="17"/>
          <w:szCs w:val="17"/>
        </w:rPr>
        <w:lastRenderedPageBreak/>
        <w:t>Notas de Gestión Administrativa:</w:t>
      </w: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Introducción</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del Poder Ejecutivo del Estado de Querétaro.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objetivo del presente documento es la revelación del contexto y de los aspectos económicos financieros más relevantes que influyeron en las decisiones del período, que comprende del 1 de enero al 31 de diciembre del 2017, y que se consideraron en la elaboración de los estados financieros para la mayor comprensión de los mismos y sus particularidades.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Panorama Económico y Financiero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Durante el ejercicio fiscal de 2017, el Poder Ejecutivo del Estado de Querétaro operó bajo las siguientes condiciones, que, si bien son de escala mundial y nacional, no por ello tiene poca relevancia en el ámbito local en donde se desenvuelve el Gobierno del Estado: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1)</w:t>
      </w:r>
      <w:r>
        <w:rPr>
          <w:rFonts w:ascii="Arial" w:eastAsia="Calibri" w:hAnsi="Arial" w:cs="Arial"/>
          <w:spacing w:val="-1"/>
          <w:sz w:val="17"/>
          <w:szCs w:val="17"/>
        </w:rPr>
        <w:tab/>
        <w:t>El crecimiento de la economía mexicana durante 2017 se desaceleró respecto a lo registrado en los años previos.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2)</w:t>
      </w:r>
      <w:r>
        <w:rPr>
          <w:rFonts w:ascii="Arial" w:eastAsia="Calibri" w:hAnsi="Arial" w:cs="Arial"/>
          <w:spacing w:val="-1"/>
          <w:sz w:val="17"/>
          <w:szCs w:val="17"/>
        </w:rPr>
        <w:tab/>
        <w:t>Disminución del consumo junto con una atonía en la que ha venido mostrando la inversión.</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3)</w:t>
      </w:r>
      <w:r>
        <w:rPr>
          <w:rFonts w:ascii="Arial" w:eastAsia="Calibri" w:hAnsi="Arial" w:cs="Arial"/>
          <w:spacing w:val="-1"/>
          <w:sz w:val="17"/>
          <w:szCs w:val="17"/>
        </w:rPr>
        <w:tab/>
        <w:t>Las cuentas externas del país muestran una ampliación del déficit de la balanza comercial petrolera y una importante reducción de la no petrolera.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4)</w:t>
      </w:r>
      <w:r>
        <w:rPr>
          <w:rFonts w:ascii="Arial" w:eastAsia="Calibri" w:hAnsi="Arial" w:cs="Arial"/>
          <w:spacing w:val="-1"/>
          <w:sz w:val="17"/>
          <w:szCs w:val="17"/>
        </w:rPr>
        <w:tab/>
        <w:t>Cierre de la Inflación anual acumulada por arriba de lo esperado.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5)</w:t>
      </w:r>
      <w:r>
        <w:rPr>
          <w:rFonts w:ascii="Arial" w:eastAsia="Calibri" w:hAnsi="Arial" w:cs="Arial"/>
          <w:spacing w:val="-1"/>
          <w:sz w:val="17"/>
          <w:szCs w:val="17"/>
        </w:rPr>
        <w:tab/>
        <w:t>La apreciación del dólar frente a otras divisas, en especial con el peso mexicano.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6)</w:t>
      </w:r>
      <w:r>
        <w:rPr>
          <w:rFonts w:ascii="Arial" w:eastAsia="Calibri" w:hAnsi="Arial" w:cs="Arial"/>
          <w:spacing w:val="-1"/>
          <w:sz w:val="17"/>
          <w:szCs w:val="17"/>
        </w:rPr>
        <w:tab/>
        <w:t>Incertidumbre financiera y comercial en torno a la relación bilateral México-EUA.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7)</w:t>
      </w:r>
      <w:r>
        <w:rPr>
          <w:rFonts w:ascii="Arial" w:eastAsia="Calibri" w:hAnsi="Arial" w:cs="Arial"/>
          <w:spacing w:val="-1"/>
          <w:sz w:val="17"/>
          <w:szCs w:val="17"/>
        </w:rPr>
        <w:tab/>
        <w:t>Aumento en las tasas de interés en Estados Unidos.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 pesar de dichos fenómenos que inciden en las operaciones del Poder Ejecutivo, a nivel nacional nuestra entidad federativa se consolidó como líder en el avance en la actividad económica registrado en el Indicador Trimestral de la Actividad Económica Estatal (ITAEE), el cual muestra a Querétaro con un avance superior a la media nacional en su actividad económica, con una variación porcentual real de 3.1% respecto al mismo trimestre del año anterior anual, según lo corrobora el siguiente comentario vertido por el Instituto Nacional de Estadística y Geografía (INEGI):</w:t>
      </w:r>
    </w:p>
    <w:p w:rsidR="006A5F13" w:rsidRDefault="006A5F13" w:rsidP="006A5F13">
      <w:pPr>
        <w:rPr>
          <w:rFonts w:ascii="Arial" w:hAnsi="Arial" w:cs="Arial"/>
          <w:b/>
          <w:bCs/>
          <w:color w:val="000000"/>
          <w:sz w:val="22"/>
          <w:szCs w:val="34"/>
          <w:shd w:val="clear" w:color="auto" w:fill="FFFFFF"/>
        </w:rPr>
      </w:pPr>
      <w:r>
        <w:rPr>
          <w:rFonts w:ascii="Arial" w:hAnsi="Arial" w:cs="Arial"/>
          <w:b/>
          <w:bCs/>
          <w:color w:val="000000"/>
          <w:sz w:val="22"/>
          <w:szCs w:val="34"/>
          <w:shd w:val="clear" w:color="auto" w:fill="FFFFFF"/>
        </w:rPr>
        <w:br w:type="page"/>
      </w:r>
    </w:p>
    <w:p w:rsidR="006A5F13" w:rsidRDefault="006A5F13" w:rsidP="006A5F13">
      <w:pPr>
        <w:spacing w:before="120" w:after="120" w:line="240" w:lineRule="exact"/>
        <w:jc w:val="both"/>
        <w:rPr>
          <w:rFonts w:ascii="Arial" w:hAnsi="Arial" w:cs="Arial"/>
          <w:b/>
          <w:bCs/>
          <w:color w:val="000000"/>
          <w:sz w:val="22"/>
          <w:szCs w:val="34"/>
          <w:shd w:val="clear" w:color="auto" w:fill="FFFFFF"/>
        </w:rPr>
      </w:pPr>
      <w:r>
        <w:rPr>
          <w:rFonts w:ascii="Arial" w:hAnsi="Arial" w:cs="Arial"/>
          <w:b/>
          <w:bCs/>
          <w:color w:val="000000"/>
          <w:sz w:val="22"/>
          <w:szCs w:val="34"/>
          <w:shd w:val="clear" w:color="auto" w:fill="FFFFFF"/>
        </w:rPr>
        <w:lastRenderedPageBreak/>
        <w:t>Indicador Trimestral de la Actividad Económica Estatal</w:t>
      </w:r>
    </w:p>
    <w:p w:rsidR="006A5F13" w:rsidRDefault="006A5F13" w:rsidP="006A5F13">
      <w:pPr>
        <w:spacing w:before="120" w:after="120" w:line="240" w:lineRule="exact"/>
        <w:jc w:val="both"/>
        <w:rPr>
          <w:rFonts w:ascii="Arial" w:eastAsia="Calibri" w:hAnsi="Arial" w:cs="Arial"/>
          <w:noProof/>
          <w:spacing w:val="-1"/>
          <w:sz w:val="17"/>
          <w:szCs w:val="17"/>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13970</wp:posOffset>
            </wp:positionV>
            <wp:extent cx="6518275" cy="59817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l="15547" t="24332" r="11589" b="20979"/>
                    <a:stretch>
                      <a:fillRect/>
                    </a:stretch>
                  </pic:blipFill>
                  <pic:spPr bwMode="auto">
                    <a:xfrm>
                      <a:off x="0" y="0"/>
                      <a:ext cx="6518275" cy="598170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eastAsia="Calibri" w:hAnsi="Arial" w:cs="Arial"/>
          <w:noProof/>
          <w:spacing w:val="-1"/>
          <w:sz w:val="17"/>
          <w:szCs w:val="17"/>
        </w:rPr>
        <w:drawing>
          <wp:inline distT="0" distB="0" distL="0" distR="0">
            <wp:extent cx="4438650" cy="4352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4352925"/>
                    </a:xfrm>
                    <a:prstGeom prst="rect">
                      <a:avLst/>
                    </a:prstGeom>
                    <a:noFill/>
                    <a:ln>
                      <a:noFill/>
                    </a:ln>
                  </pic:spPr>
                </pic:pic>
              </a:graphicData>
            </a:graphic>
          </wp:inline>
        </w:drawing>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lastRenderedPageBreak/>
        <w:t>Autorización e Historia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6A5F13" w:rsidRDefault="006A5F13" w:rsidP="006A5F13">
      <w:pPr>
        <w:spacing w:before="120" w:after="120" w:line="240" w:lineRule="exact"/>
        <w:ind w:left="1701" w:right="2515"/>
        <w:jc w:val="both"/>
        <w:rPr>
          <w:rFonts w:ascii="Arial" w:eastAsia="Calibri" w:hAnsi="Arial" w:cs="Arial"/>
          <w:i/>
          <w:spacing w:val="-1"/>
          <w:sz w:val="17"/>
          <w:szCs w:val="17"/>
        </w:rPr>
      </w:pPr>
      <w:r>
        <w:rPr>
          <w:rFonts w:ascii="Arial" w:eastAsia="Calibri" w:hAnsi="Arial" w:cs="Arial"/>
          <w:i/>
          <w:spacing w:val="-1"/>
          <w:sz w:val="17"/>
          <w:szCs w:val="17"/>
        </w:rPr>
        <w:t>“El estado de Querétaro es parte integrante de la Federación Mexicana, es libre y autónomo en lo que se refiere a su régimen interno y sólo delega sus facultades en los Poderes Federales, en todo aquello que fije expresamente la constitución Política de los Estado Unidos mexicas”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el artículo 13 del mismo ordenamiento legal, establece:</w:t>
      </w:r>
      <w:r>
        <w:rPr>
          <w:rFonts w:ascii="Arial" w:eastAsia="Calibri" w:hAnsi="Arial" w:cs="Arial"/>
          <w:noProof/>
          <w:spacing w:val="-1"/>
          <w:sz w:val="17"/>
          <w:szCs w:val="17"/>
        </w:rPr>
        <w:t xml:space="preserve"> </w:t>
      </w:r>
    </w:p>
    <w:p w:rsidR="006A5F13" w:rsidRDefault="006A5F13" w:rsidP="006A5F13">
      <w:pPr>
        <w:spacing w:before="120" w:after="120" w:line="240" w:lineRule="exact"/>
        <w:ind w:left="1701" w:right="2515"/>
        <w:jc w:val="both"/>
        <w:rPr>
          <w:rFonts w:ascii="Arial" w:eastAsia="Calibri" w:hAnsi="Arial" w:cs="Arial"/>
          <w:i/>
          <w:spacing w:val="-1"/>
          <w:sz w:val="17"/>
          <w:szCs w:val="17"/>
        </w:rPr>
      </w:pPr>
      <w:r>
        <w:rPr>
          <w:rFonts w:ascii="Arial" w:eastAsia="Calibri" w:hAnsi="Arial" w:cs="Arial"/>
          <w:i/>
          <w:spacing w:val="-1"/>
          <w:sz w:val="17"/>
          <w:szCs w:val="17"/>
        </w:rPr>
        <w:t>“El Poder Público del Estado se divide para su ejercicio en las funciones: Legislativa, Ejecutiva y Judicial…”</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que se refiere a la estructura del Poder Ejecutivo del Estado de Querétaro, está manifestada en la Ley Orgánica del Poder Ejecutivo del Estado de Querétaro, publicada en el Periódico Oficial del 17 de noviembre del 2008, con última reforma de fecha 21 de diciembre de 2016.</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Organización y Objeto Social</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6A5F13" w:rsidRDefault="006A5F13" w:rsidP="006A5F13">
      <w:pPr>
        <w:spacing w:before="120" w:after="120" w:line="240" w:lineRule="exact"/>
        <w:ind w:left="1701" w:right="2373"/>
        <w:jc w:val="both"/>
        <w:rPr>
          <w:rFonts w:ascii="Arial" w:eastAsia="Calibri" w:hAnsi="Arial" w:cs="Arial"/>
          <w:i/>
          <w:spacing w:val="-1"/>
          <w:sz w:val="17"/>
          <w:szCs w:val="17"/>
        </w:rPr>
      </w:pP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 la misma manera en el artículo 3, se establece que:</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 xml:space="preserve">El Estado adoptará medidas que garanticen la no discriminación del individuo y propicien el desarrollo físico, emocional y mental de los menores, de los jóvenes y de todos aquellos que por circunstancias particulares lo requieran. Establecerá un </w:t>
      </w:r>
      <w:r>
        <w:rPr>
          <w:rFonts w:ascii="Arial" w:eastAsia="Calibri" w:hAnsi="Arial" w:cs="Arial"/>
          <w:i/>
          <w:spacing w:val="-1"/>
          <w:sz w:val="17"/>
          <w:szCs w:val="17"/>
        </w:rPr>
        <w:lastRenderedPageBreak/>
        <w:t>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Asimismo, en el artículo 4, menciona lo siguiente:</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El Sistema Educativo Estatal estará orientado a exaltar los valores universales cívicos y democráticos del hombre; a propiciar el conocimiento, la defensa y respeto a los derechos humanos; a fomentar la cultura de la legalidad, 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6A5F13" w:rsidRDefault="006A5F13" w:rsidP="006A5F13">
      <w:pPr>
        <w:spacing w:before="120" w:after="120" w:line="240" w:lineRule="exact"/>
        <w:ind w:left="1701" w:right="2373"/>
        <w:jc w:val="both"/>
        <w:rPr>
          <w:rFonts w:ascii="Arial" w:eastAsia="Calibri" w:hAnsi="Arial" w:cs="Arial"/>
          <w:i/>
          <w:spacing w:val="-1"/>
          <w:sz w:val="17"/>
          <w:szCs w:val="17"/>
        </w:rPr>
      </w:pP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Por su parte el artículo 5, se establece que:</w:t>
      </w:r>
    </w:p>
    <w:p w:rsidR="006A5F13" w:rsidRDefault="006A5F13" w:rsidP="006A5F13">
      <w:pPr>
        <w:spacing w:before="120" w:after="120" w:line="240" w:lineRule="exact"/>
        <w:ind w:left="1701" w:right="2231"/>
        <w:jc w:val="both"/>
        <w:rPr>
          <w:rFonts w:ascii="Arial" w:eastAsia="Calibri" w:hAnsi="Arial" w:cs="Arial"/>
          <w:i/>
          <w:spacing w:val="-1"/>
          <w:sz w:val="17"/>
          <w:szCs w:val="17"/>
        </w:rPr>
      </w:pPr>
      <w:r>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6A5F13" w:rsidRDefault="006A5F13" w:rsidP="006A5F13">
      <w:pPr>
        <w:spacing w:before="120" w:after="120" w:line="240" w:lineRule="exact"/>
        <w:ind w:left="1701" w:right="2231"/>
        <w:jc w:val="both"/>
        <w:rPr>
          <w:rFonts w:ascii="Arial" w:eastAsia="Calibri" w:hAnsi="Arial" w:cs="Arial"/>
          <w:i/>
          <w:spacing w:val="-1"/>
          <w:sz w:val="17"/>
          <w:szCs w:val="17"/>
        </w:rPr>
      </w:pPr>
      <w:r>
        <w:rPr>
          <w:rFonts w:ascii="Arial" w:eastAsia="Calibri" w:hAnsi="Arial" w:cs="Arial"/>
          <w:i/>
          <w:spacing w:val="-1"/>
          <w:sz w:val="17"/>
          <w:szCs w:val="17"/>
        </w:rPr>
        <w:t>La protección, la conservación, la restauración y la sustentabilidad de los recursos naturales serán tareas prioritarias del Estado.”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Por último, en el artículo 6 se señala que:</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“Toda persona tiene derecho a acceder de forma libre y universal a Internet y a las tecnologías de la información y la comunicación.</w:t>
      </w:r>
    </w:p>
    <w:p w:rsidR="006A5F13" w:rsidRDefault="006A5F13" w:rsidP="006A5F13">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lastRenderedPageBreak/>
        <w:t>El Estado está obligado a implementar las políticas necesarias para hacer efectivo este derecho, en los términos establecidos por la Ley.”</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el desarrollo de las actividades realizadas por el Poder Ejecutivo del Estado de Querétaro, éstas se encuentran delimitadas en la Ley Orgánica del Poder Ejecutivo del Estado de Querétaro, en la que se establece su estructura organizacional. Asimismo, para la realización de los diversos programas y actividades de gobierno, el ejercicio fiscal 2017 contempla el periodo del 1 de enero al 31 de diciembre del 2017.</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Bases de Preparación de los Estados Financieros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Asimismo, en lo referente a la valuación y revelación de diversos rubros de la información financiera, se ha considerado lo establecido en las “</w:t>
      </w:r>
      <w:r>
        <w:rPr>
          <w:rFonts w:ascii="Arial" w:eastAsia="Calibri" w:hAnsi="Arial" w:cs="Arial"/>
          <w:b/>
          <w:spacing w:val="-1"/>
          <w:sz w:val="17"/>
          <w:szCs w:val="17"/>
        </w:rPr>
        <w:t>Principales Reglas de Registro y Valoración del Patrimonio (Elementos Generales)</w:t>
      </w:r>
      <w:r>
        <w:rPr>
          <w:rFonts w:ascii="Arial" w:eastAsia="Calibri" w:hAnsi="Arial" w:cs="Arial"/>
          <w:spacing w:val="-1"/>
          <w:sz w:val="17"/>
          <w:szCs w:val="17"/>
        </w:rPr>
        <w:t>” así como en las “</w:t>
      </w:r>
      <w:r>
        <w:rPr>
          <w:rFonts w:ascii="Arial" w:eastAsia="Calibri" w:hAnsi="Arial" w:cs="Arial"/>
          <w:b/>
          <w:spacing w:val="-1"/>
          <w:sz w:val="17"/>
          <w:szCs w:val="17"/>
        </w:rPr>
        <w:t>Reglas Específicas de Registro y Valoración del Patrimonio</w:t>
      </w:r>
      <w:r>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el caso del presente Informe del Poder Ejecutivo del Estado de Querétaro, no se ha aplicado alguna Normatividad Supletoria.</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Políticas de Contabilidad Significativas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las políticas contables, se comenta lo siguiente:</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Atendiendo a lo estipulado en las “</w:t>
      </w:r>
      <w:r>
        <w:rPr>
          <w:rFonts w:ascii="Arial" w:eastAsia="Calibri" w:hAnsi="Arial" w:cs="Arial"/>
          <w:b/>
          <w:spacing w:val="-1"/>
          <w:sz w:val="17"/>
          <w:szCs w:val="17"/>
        </w:rPr>
        <w:t>Reglas Específicas de Registro y Valoración del Patrimonio</w:t>
      </w:r>
      <w:r>
        <w:rPr>
          <w:rFonts w:ascii="Arial" w:eastAsia="Calibri" w:hAnsi="Arial" w:cs="Arial"/>
          <w:spacing w:val="-1"/>
          <w:sz w:val="17"/>
          <w:szCs w:val="17"/>
        </w:rPr>
        <w:t>”, que refiere a que el Índice Nacional de Precios al Consumidor acumulado durante un periodo de tres años sea igual o superior al 100%, a la fecha de la emisión del Informe, no ha excedido del tal porcentaje, por lo cual no se ha realizado actualización alguna en ningún rubro del activo, pasivo y hacienda pública.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las políticas para el cálculo de la reserva actuarial, éstas se encuentran plasmadas en el estudio actuarial realizado al Poder Ejecutivo del Estado de Querétaro.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 la fecha del presente documento, no se han generado nuevas provisiones ni reservas.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el efecto que tiene las correcciones de errores en la información financiera, estos son revelados en las Notas de Desglose, en particular en lo que se observa en las Notas al Estado de Variación en la Hacienda Pública.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En lo referente a la Depuración y cancelación de saldos, las políticas particulares están contenidas en el Anexo II del Manual de Contabilidad Gubernamental del Poder Ejecutivo del Estado de Querétaro.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obras que se encuentran en proceso de ser concluidas.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el ejercicio 2017 se continuó realizando y documentando el valor que habrá de reflejarse por norma de la participación del Poder Ejecutivo en las entidades paraestatales, el cual tendrá como resultado un incremento en el rubro del activo no circulante y el respectivo incremento en la Hacienda Pública. Dicho reconocimiento se pretende realizar en el ejercicio 2018.</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Posición en Moneda Extranjera y Protección por Riesgo Cambiario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no existen posiciones en Moneda Extranjera.</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Reporte Analítico del Activo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efecto del Estado Analítico del Activo se comenta lo siguiente:</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la vida útil, porcentajes de depreciación y amortización de los diferentes tipos de activos no circulantes, se encuentran revelados en las Notas de Desglose, en particular en las Notas al Estado de Situación Financiera, en el apartado “5 Bienes Muebles, Inmuebles e Intangibles”.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referente a las Inversiones en empresas de participación mayoritaria y minoritaria se tiene lo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6"/>
        <w:gridCol w:w="8436"/>
        <w:gridCol w:w="2676"/>
      </w:tblGrid>
      <w:tr w:rsidR="006A5F13" w:rsidTr="006A5F13">
        <w:trPr>
          <w:trHeight w:val="240"/>
          <w:jc w:val="center"/>
        </w:trPr>
        <w:tc>
          <w:tcPr>
            <w:tcW w:w="12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rsidR="006A5F13" w:rsidRDefault="006A5F13">
            <w:pPr>
              <w:jc w:val="center"/>
              <w:rPr>
                <w:rFonts w:ascii="Arial" w:hAnsi="Arial" w:cs="Arial"/>
                <w:b/>
                <w:color w:val="000000"/>
                <w:sz w:val="17"/>
                <w:szCs w:val="17"/>
              </w:rPr>
            </w:pPr>
            <w:r>
              <w:rPr>
                <w:rFonts w:ascii="Arial" w:hAnsi="Arial" w:cs="Arial"/>
                <w:b/>
                <w:color w:val="000000"/>
                <w:sz w:val="17"/>
                <w:szCs w:val="17"/>
              </w:rPr>
              <w:t>Cuenta</w:t>
            </w:r>
          </w:p>
        </w:tc>
        <w:tc>
          <w:tcPr>
            <w:tcW w:w="843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rsidR="006A5F13" w:rsidRDefault="006A5F13">
            <w:pPr>
              <w:jc w:val="center"/>
              <w:rPr>
                <w:rFonts w:ascii="Arial" w:hAnsi="Arial" w:cs="Arial"/>
                <w:b/>
                <w:color w:val="000000"/>
                <w:sz w:val="17"/>
                <w:szCs w:val="17"/>
              </w:rPr>
            </w:pPr>
            <w:r>
              <w:rPr>
                <w:rFonts w:ascii="Arial" w:hAnsi="Arial" w:cs="Arial"/>
                <w:b/>
                <w:color w:val="000000"/>
                <w:sz w:val="17"/>
                <w:szCs w:val="17"/>
              </w:rPr>
              <w:t>Concepto</w:t>
            </w:r>
          </w:p>
        </w:tc>
        <w:tc>
          <w:tcPr>
            <w:tcW w:w="26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5F13" w:rsidRDefault="006A5F13">
            <w:pPr>
              <w:jc w:val="center"/>
              <w:rPr>
                <w:rFonts w:ascii="Arial" w:hAnsi="Arial" w:cs="Arial"/>
                <w:b/>
                <w:color w:val="000000"/>
                <w:sz w:val="17"/>
                <w:szCs w:val="17"/>
              </w:rPr>
            </w:pPr>
            <w:r>
              <w:rPr>
                <w:rFonts w:ascii="Arial" w:hAnsi="Arial" w:cs="Arial"/>
                <w:b/>
                <w:color w:val="000000"/>
                <w:sz w:val="17"/>
                <w:szCs w:val="17"/>
              </w:rPr>
              <w:t>Importe</w:t>
            </w:r>
          </w:p>
        </w:tc>
      </w:tr>
      <w:tr w:rsidR="006A5F13" w:rsidTr="006A5F13">
        <w:trPr>
          <w:trHeight w:val="240"/>
          <w:jc w:val="center"/>
        </w:trPr>
        <w:tc>
          <w:tcPr>
            <w:tcW w:w="1216" w:type="dxa"/>
            <w:tcBorders>
              <w:top w:val="single" w:sz="4" w:space="0" w:color="auto"/>
              <w:left w:val="single" w:sz="4" w:space="0" w:color="auto"/>
              <w:bottom w:val="single" w:sz="4" w:space="0" w:color="auto"/>
              <w:right w:val="single" w:sz="4" w:space="0" w:color="auto"/>
            </w:tcBorders>
            <w:noWrap/>
            <w:vAlign w:val="bottom"/>
            <w:hideMark/>
          </w:tcPr>
          <w:p w:rsidR="006A5F13" w:rsidRDefault="006A5F13">
            <w:pPr>
              <w:jc w:val="center"/>
              <w:rPr>
                <w:rFonts w:ascii="Arial" w:hAnsi="Arial" w:cs="Arial"/>
                <w:color w:val="000000"/>
                <w:sz w:val="17"/>
                <w:szCs w:val="17"/>
              </w:rPr>
            </w:pPr>
            <w:r>
              <w:rPr>
                <w:rFonts w:ascii="Arial" w:hAnsi="Arial" w:cs="Arial"/>
                <w:color w:val="000000"/>
                <w:sz w:val="17"/>
                <w:szCs w:val="17"/>
              </w:rPr>
              <w:t>12141</w:t>
            </w:r>
          </w:p>
        </w:tc>
        <w:tc>
          <w:tcPr>
            <w:tcW w:w="8436" w:type="dxa"/>
            <w:tcBorders>
              <w:top w:val="single" w:sz="4" w:space="0" w:color="auto"/>
              <w:left w:val="single" w:sz="4" w:space="0" w:color="auto"/>
              <w:bottom w:val="single" w:sz="4" w:space="0" w:color="auto"/>
              <w:right w:val="single" w:sz="4" w:space="0" w:color="auto"/>
            </w:tcBorders>
            <w:noWrap/>
            <w:vAlign w:val="bottom"/>
            <w:hideMark/>
          </w:tcPr>
          <w:p w:rsidR="006A5F13" w:rsidRDefault="006A5F13">
            <w:pPr>
              <w:rPr>
                <w:rFonts w:ascii="Arial" w:hAnsi="Arial" w:cs="Arial"/>
                <w:color w:val="000000"/>
                <w:sz w:val="17"/>
                <w:szCs w:val="17"/>
              </w:rPr>
            </w:pPr>
            <w:r>
              <w:rPr>
                <w:rFonts w:ascii="Arial" w:hAnsi="Arial" w:cs="Arial"/>
                <w:color w:val="000000"/>
                <w:sz w:val="17"/>
                <w:szCs w:val="17"/>
              </w:rPr>
              <w:t>Participaciones y aportaciones de capital a largo plazo en el sector público</w:t>
            </w:r>
          </w:p>
        </w:tc>
        <w:tc>
          <w:tcPr>
            <w:tcW w:w="2676" w:type="dxa"/>
            <w:tcBorders>
              <w:top w:val="single" w:sz="4" w:space="0" w:color="auto"/>
              <w:left w:val="single" w:sz="4" w:space="0" w:color="auto"/>
              <w:bottom w:val="single" w:sz="4" w:space="0" w:color="auto"/>
              <w:right w:val="single" w:sz="4" w:space="0" w:color="auto"/>
            </w:tcBorders>
          </w:tcPr>
          <w:p w:rsidR="006A5F13" w:rsidRDefault="006A5F13">
            <w:pPr>
              <w:rPr>
                <w:rFonts w:ascii="Arial" w:hAnsi="Arial" w:cs="Arial"/>
                <w:color w:val="000000"/>
                <w:sz w:val="17"/>
                <w:szCs w:val="17"/>
              </w:rPr>
            </w:pPr>
          </w:p>
        </w:tc>
      </w:tr>
      <w:tr w:rsidR="006A5F13" w:rsidTr="006A5F13">
        <w:trPr>
          <w:trHeight w:val="240"/>
          <w:jc w:val="center"/>
        </w:trPr>
        <w:tc>
          <w:tcPr>
            <w:tcW w:w="1216" w:type="dxa"/>
            <w:tcBorders>
              <w:top w:val="single" w:sz="4" w:space="0" w:color="auto"/>
              <w:left w:val="single" w:sz="4" w:space="0" w:color="auto"/>
              <w:bottom w:val="single" w:sz="4" w:space="0" w:color="auto"/>
              <w:right w:val="single" w:sz="4" w:space="0" w:color="auto"/>
            </w:tcBorders>
            <w:noWrap/>
            <w:vAlign w:val="bottom"/>
          </w:tcPr>
          <w:p w:rsidR="006A5F13" w:rsidRDefault="006A5F13">
            <w:pPr>
              <w:jc w:val="center"/>
              <w:rPr>
                <w:rFonts w:ascii="Arial" w:hAnsi="Arial" w:cs="Arial"/>
                <w:color w:val="000000"/>
                <w:sz w:val="17"/>
                <w:szCs w:val="17"/>
              </w:rPr>
            </w:pPr>
          </w:p>
        </w:tc>
        <w:tc>
          <w:tcPr>
            <w:tcW w:w="8436" w:type="dxa"/>
            <w:tcBorders>
              <w:top w:val="single" w:sz="4" w:space="0" w:color="auto"/>
              <w:left w:val="single" w:sz="4" w:space="0" w:color="auto"/>
              <w:bottom w:val="single" w:sz="4" w:space="0" w:color="auto"/>
              <w:right w:val="single" w:sz="4" w:space="0" w:color="auto"/>
            </w:tcBorders>
            <w:noWrap/>
            <w:vAlign w:val="bottom"/>
            <w:hideMark/>
          </w:tcPr>
          <w:p w:rsidR="006A5F13" w:rsidRDefault="006A5F13">
            <w:pPr>
              <w:rPr>
                <w:rFonts w:ascii="Arial" w:hAnsi="Arial" w:cs="Arial"/>
                <w:color w:val="000000"/>
                <w:sz w:val="17"/>
                <w:szCs w:val="17"/>
              </w:rPr>
            </w:pPr>
            <w:r>
              <w:rPr>
                <w:rFonts w:ascii="Arial" w:hAnsi="Arial" w:cs="Arial"/>
                <w:color w:val="000000"/>
                <w:sz w:val="17"/>
                <w:szCs w:val="17"/>
              </w:rPr>
              <w:t>Centro Sur, S.A. de C.V.</w:t>
            </w:r>
          </w:p>
        </w:tc>
        <w:tc>
          <w:tcPr>
            <w:tcW w:w="2676" w:type="dxa"/>
            <w:tcBorders>
              <w:top w:val="single" w:sz="4" w:space="0" w:color="auto"/>
              <w:left w:val="single" w:sz="4" w:space="0" w:color="auto"/>
              <w:bottom w:val="single" w:sz="4" w:space="0" w:color="auto"/>
              <w:right w:val="single" w:sz="4" w:space="0" w:color="auto"/>
            </w:tcBorders>
            <w:hideMark/>
          </w:tcPr>
          <w:p w:rsidR="006A5F13" w:rsidRDefault="006A5F13">
            <w:pPr>
              <w:jc w:val="right"/>
              <w:rPr>
                <w:rFonts w:ascii="Arial" w:hAnsi="Arial" w:cs="Arial"/>
                <w:color w:val="000000"/>
                <w:sz w:val="17"/>
                <w:szCs w:val="17"/>
              </w:rPr>
            </w:pPr>
            <w:r>
              <w:rPr>
                <w:rFonts w:ascii="Arial" w:hAnsi="Arial" w:cs="Arial"/>
                <w:color w:val="000000"/>
                <w:sz w:val="17"/>
                <w:szCs w:val="17"/>
              </w:rPr>
              <w:t>69,179,750</w:t>
            </w:r>
          </w:p>
        </w:tc>
      </w:tr>
      <w:tr w:rsidR="006A5F13" w:rsidTr="006A5F13">
        <w:trPr>
          <w:trHeight w:val="240"/>
          <w:jc w:val="center"/>
        </w:trPr>
        <w:tc>
          <w:tcPr>
            <w:tcW w:w="1216" w:type="dxa"/>
            <w:tcBorders>
              <w:top w:val="single" w:sz="4" w:space="0" w:color="auto"/>
              <w:left w:val="single" w:sz="4" w:space="0" w:color="auto"/>
              <w:bottom w:val="single" w:sz="4" w:space="0" w:color="auto"/>
              <w:right w:val="single" w:sz="4" w:space="0" w:color="auto"/>
            </w:tcBorders>
            <w:noWrap/>
            <w:vAlign w:val="bottom"/>
          </w:tcPr>
          <w:p w:rsidR="006A5F13" w:rsidRDefault="006A5F13">
            <w:pPr>
              <w:jc w:val="center"/>
              <w:rPr>
                <w:rFonts w:ascii="Arial" w:hAnsi="Arial" w:cs="Arial"/>
                <w:color w:val="000000"/>
                <w:sz w:val="17"/>
                <w:szCs w:val="17"/>
              </w:rPr>
            </w:pPr>
          </w:p>
        </w:tc>
        <w:tc>
          <w:tcPr>
            <w:tcW w:w="8436" w:type="dxa"/>
            <w:tcBorders>
              <w:top w:val="single" w:sz="4" w:space="0" w:color="auto"/>
              <w:left w:val="single" w:sz="4" w:space="0" w:color="auto"/>
              <w:bottom w:val="single" w:sz="4" w:space="0" w:color="auto"/>
              <w:right w:val="single" w:sz="4" w:space="0" w:color="auto"/>
            </w:tcBorders>
            <w:noWrap/>
            <w:vAlign w:val="bottom"/>
            <w:hideMark/>
          </w:tcPr>
          <w:p w:rsidR="006A5F13" w:rsidRDefault="006A5F13">
            <w:pPr>
              <w:rPr>
                <w:rFonts w:ascii="Arial" w:hAnsi="Arial" w:cs="Arial"/>
                <w:color w:val="000000"/>
                <w:sz w:val="17"/>
                <w:szCs w:val="17"/>
              </w:rPr>
            </w:pPr>
            <w:r>
              <w:rPr>
                <w:rFonts w:ascii="Arial" w:hAnsi="Arial" w:cs="Arial"/>
                <w:color w:val="000000"/>
                <w:sz w:val="17"/>
                <w:szCs w:val="17"/>
              </w:rPr>
              <w:t>Aeropuerto Intercontinental de Querétaro, S.A. de C.V.</w:t>
            </w:r>
          </w:p>
        </w:tc>
        <w:tc>
          <w:tcPr>
            <w:tcW w:w="2676" w:type="dxa"/>
            <w:tcBorders>
              <w:top w:val="single" w:sz="4" w:space="0" w:color="auto"/>
              <w:left w:val="single" w:sz="4" w:space="0" w:color="auto"/>
              <w:bottom w:val="single" w:sz="4" w:space="0" w:color="auto"/>
              <w:right w:val="single" w:sz="4" w:space="0" w:color="auto"/>
            </w:tcBorders>
            <w:hideMark/>
          </w:tcPr>
          <w:p w:rsidR="006A5F13" w:rsidRDefault="006A5F13">
            <w:pPr>
              <w:jc w:val="right"/>
              <w:rPr>
                <w:rFonts w:ascii="Arial" w:hAnsi="Arial" w:cs="Arial"/>
                <w:color w:val="000000"/>
                <w:sz w:val="17"/>
                <w:szCs w:val="17"/>
              </w:rPr>
            </w:pPr>
            <w:r>
              <w:rPr>
                <w:rFonts w:ascii="Arial" w:hAnsi="Arial" w:cs="Arial"/>
                <w:color w:val="000000"/>
                <w:sz w:val="17"/>
                <w:szCs w:val="17"/>
              </w:rPr>
              <w:t>126,748,301</w:t>
            </w:r>
          </w:p>
        </w:tc>
      </w:tr>
      <w:tr w:rsidR="006A5F13" w:rsidTr="006A5F13">
        <w:trPr>
          <w:trHeight w:val="240"/>
          <w:jc w:val="center"/>
        </w:trPr>
        <w:tc>
          <w:tcPr>
            <w:tcW w:w="1216" w:type="dxa"/>
            <w:tcBorders>
              <w:top w:val="single" w:sz="4" w:space="0" w:color="auto"/>
              <w:left w:val="single" w:sz="4" w:space="0" w:color="auto"/>
              <w:bottom w:val="single" w:sz="4" w:space="0" w:color="auto"/>
              <w:right w:val="single" w:sz="4" w:space="0" w:color="auto"/>
            </w:tcBorders>
            <w:noWrap/>
            <w:vAlign w:val="bottom"/>
          </w:tcPr>
          <w:p w:rsidR="006A5F13" w:rsidRDefault="006A5F13">
            <w:pPr>
              <w:jc w:val="center"/>
              <w:rPr>
                <w:rFonts w:ascii="Arial" w:hAnsi="Arial" w:cs="Arial"/>
                <w:color w:val="000000"/>
                <w:sz w:val="17"/>
                <w:szCs w:val="17"/>
              </w:rPr>
            </w:pPr>
          </w:p>
        </w:tc>
        <w:tc>
          <w:tcPr>
            <w:tcW w:w="8436" w:type="dxa"/>
            <w:tcBorders>
              <w:top w:val="single" w:sz="4" w:space="0" w:color="auto"/>
              <w:left w:val="single" w:sz="4" w:space="0" w:color="auto"/>
              <w:bottom w:val="single" w:sz="4" w:space="0" w:color="auto"/>
              <w:right w:val="single" w:sz="4" w:space="0" w:color="auto"/>
            </w:tcBorders>
            <w:noWrap/>
            <w:vAlign w:val="bottom"/>
            <w:hideMark/>
          </w:tcPr>
          <w:p w:rsidR="006A5F13" w:rsidRDefault="006A5F13">
            <w:pPr>
              <w:rPr>
                <w:rFonts w:ascii="Arial" w:hAnsi="Arial" w:cs="Arial"/>
                <w:color w:val="000000"/>
                <w:sz w:val="17"/>
                <w:szCs w:val="17"/>
              </w:rPr>
            </w:pPr>
            <w:r>
              <w:rPr>
                <w:rFonts w:ascii="Arial" w:hAnsi="Arial" w:cs="Arial"/>
                <w:color w:val="000000"/>
                <w:sz w:val="17"/>
                <w:szCs w:val="17"/>
              </w:rPr>
              <w:t>Instituto Queretano del Transporte</w:t>
            </w:r>
          </w:p>
        </w:tc>
        <w:tc>
          <w:tcPr>
            <w:tcW w:w="2676" w:type="dxa"/>
            <w:tcBorders>
              <w:top w:val="single" w:sz="4" w:space="0" w:color="auto"/>
              <w:left w:val="single" w:sz="4" w:space="0" w:color="auto"/>
              <w:bottom w:val="single" w:sz="4" w:space="0" w:color="auto"/>
              <w:right w:val="single" w:sz="4" w:space="0" w:color="auto"/>
            </w:tcBorders>
            <w:hideMark/>
          </w:tcPr>
          <w:p w:rsidR="006A5F13" w:rsidRDefault="006A5F13">
            <w:pPr>
              <w:jc w:val="right"/>
              <w:rPr>
                <w:rFonts w:ascii="Arial" w:hAnsi="Arial" w:cs="Arial"/>
                <w:color w:val="000000"/>
                <w:sz w:val="17"/>
                <w:szCs w:val="17"/>
              </w:rPr>
            </w:pPr>
            <w:r>
              <w:rPr>
                <w:rFonts w:ascii="Arial" w:hAnsi="Arial" w:cs="Arial"/>
                <w:color w:val="000000"/>
                <w:sz w:val="17"/>
                <w:szCs w:val="17"/>
              </w:rPr>
              <w:t>92,589,558</w:t>
            </w:r>
          </w:p>
        </w:tc>
      </w:tr>
      <w:tr w:rsidR="006A5F13" w:rsidTr="006A5F13">
        <w:trPr>
          <w:trHeight w:val="240"/>
          <w:jc w:val="center"/>
        </w:trPr>
        <w:tc>
          <w:tcPr>
            <w:tcW w:w="1216" w:type="dxa"/>
            <w:tcBorders>
              <w:top w:val="single" w:sz="4" w:space="0" w:color="auto"/>
              <w:left w:val="single" w:sz="4" w:space="0" w:color="auto"/>
              <w:bottom w:val="single" w:sz="4" w:space="0" w:color="auto"/>
              <w:right w:val="single" w:sz="4" w:space="0" w:color="auto"/>
            </w:tcBorders>
            <w:noWrap/>
            <w:vAlign w:val="bottom"/>
          </w:tcPr>
          <w:p w:rsidR="006A5F13" w:rsidRDefault="006A5F13">
            <w:pPr>
              <w:jc w:val="center"/>
              <w:rPr>
                <w:rFonts w:ascii="Arial" w:hAnsi="Arial" w:cs="Arial"/>
                <w:color w:val="000000"/>
                <w:sz w:val="17"/>
                <w:szCs w:val="17"/>
              </w:rPr>
            </w:pPr>
          </w:p>
        </w:tc>
        <w:tc>
          <w:tcPr>
            <w:tcW w:w="8436" w:type="dxa"/>
            <w:tcBorders>
              <w:top w:val="single" w:sz="4" w:space="0" w:color="auto"/>
              <w:left w:val="single" w:sz="4" w:space="0" w:color="auto"/>
              <w:bottom w:val="single" w:sz="4" w:space="0" w:color="auto"/>
              <w:right w:val="single" w:sz="4" w:space="0" w:color="auto"/>
            </w:tcBorders>
            <w:noWrap/>
            <w:vAlign w:val="bottom"/>
            <w:hideMark/>
          </w:tcPr>
          <w:p w:rsidR="006A5F13" w:rsidRDefault="006A5F13">
            <w:pPr>
              <w:rPr>
                <w:rFonts w:ascii="Arial" w:hAnsi="Arial" w:cs="Arial"/>
                <w:color w:val="000000"/>
                <w:sz w:val="17"/>
                <w:szCs w:val="17"/>
              </w:rPr>
            </w:pPr>
            <w:r>
              <w:rPr>
                <w:rFonts w:ascii="Arial" w:hAnsi="Arial" w:cs="Arial"/>
                <w:color w:val="000000"/>
                <w:sz w:val="17"/>
                <w:szCs w:val="17"/>
              </w:rPr>
              <w:t>Comisión Estatal de Infraestructura</w:t>
            </w:r>
          </w:p>
        </w:tc>
        <w:tc>
          <w:tcPr>
            <w:tcW w:w="2676" w:type="dxa"/>
            <w:tcBorders>
              <w:top w:val="single" w:sz="4" w:space="0" w:color="auto"/>
              <w:left w:val="single" w:sz="4" w:space="0" w:color="auto"/>
              <w:bottom w:val="single" w:sz="4" w:space="0" w:color="auto"/>
              <w:right w:val="single" w:sz="4" w:space="0" w:color="auto"/>
            </w:tcBorders>
            <w:hideMark/>
          </w:tcPr>
          <w:p w:rsidR="006A5F13" w:rsidRDefault="006A5F13">
            <w:pPr>
              <w:jc w:val="right"/>
              <w:rPr>
                <w:rFonts w:ascii="Arial" w:hAnsi="Arial" w:cs="Arial"/>
                <w:color w:val="000000"/>
                <w:sz w:val="17"/>
                <w:szCs w:val="17"/>
              </w:rPr>
            </w:pPr>
            <w:r>
              <w:rPr>
                <w:rFonts w:ascii="Arial" w:hAnsi="Arial" w:cs="Arial"/>
                <w:color w:val="000000"/>
                <w:sz w:val="17"/>
                <w:szCs w:val="17"/>
              </w:rPr>
              <w:t>104,694,317</w:t>
            </w:r>
          </w:p>
        </w:tc>
      </w:tr>
      <w:tr w:rsidR="006A5F13" w:rsidTr="006A5F13">
        <w:trPr>
          <w:trHeight w:val="240"/>
          <w:jc w:val="center"/>
        </w:trPr>
        <w:tc>
          <w:tcPr>
            <w:tcW w:w="1216" w:type="dxa"/>
            <w:tcBorders>
              <w:top w:val="single" w:sz="4" w:space="0" w:color="auto"/>
              <w:left w:val="nil"/>
              <w:bottom w:val="nil"/>
              <w:right w:val="nil"/>
            </w:tcBorders>
            <w:noWrap/>
            <w:vAlign w:val="bottom"/>
          </w:tcPr>
          <w:p w:rsidR="006A5F13" w:rsidRDefault="006A5F13">
            <w:pPr>
              <w:jc w:val="center"/>
              <w:rPr>
                <w:rFonts w:ascii="Arial" w:hAnsi="Arial" w:cs="Arial"/>
                <w:color w:val="000000"/>
                <w:sz w:val="17"/>
                <w:szCs w:val="17"/>
              </w:rPr>
            </w:pPr>
          </w:p>
        </w:tc>
        <w:tc>
          <w:tcPr>
            <w:tcW w:w="8436" w:type="dxa"/>
            <w:tcBorders>
              <w:top w:val="single" w:sz="4" w:space="0" w:color="auto"/>
              <w:left w:val="nil"/>
              <w:bottom w:val="nil"/>
              <w:right w:val="single" w:sz="4" w:space="0" w:color="auto"/>
            </w:tcBorders>
            <w:noWrap/>
            <w:vAlign w:val="bottom"/>
            <w:hideMark/>
          </w:tcPr>
          <w:p w:rsidR="006A5F13" w:rsidRDefault="006A5F13">
            <w:pPr>
              <w:jc w:val="center"/>
              <w:rPr>
                <w:rFonts w:ascii="Arial" w:hAnsi="Arial" w:cs="Arial"/>
                <w:b/>
                <w:color w:val="000000"/>
                <w:sz w:val="17"/>
                <w:szCs w:val="17"/>
              </w:rPr>
            </w:pPr>
            <w:r>
              <w:rPr>
                <w:rFonts w:ascii="Arial" w:hAnsi="Arial" w:cs="Arial"/>
                <w:b/>
                <w:color w:val="000000"/>
                <w:sz w:val="17"/>
                <w:szCs w:val="17"/>
              </w:rPr>
              <w:t>Total</w:t>
            </w:r>
          </w:p>
        </w:tc>
        <w:tc>
          <w:tcPr>
            <w:tcW w:w="2676" w:type="dxa"/>
            <w:tcBorders>
              <w:top w:val="single" w:sz="4" w:space="0" w:color="auto"/>
              <w:left w:val="single" w:sz="4" w:space="0" w:color="auto"/>
              <w:bottom w:val="single" w:sz="4" w:space="0" w:color="auto"/>
              <w:right w:val="single" w:sz="4" w:space="0" w:color="auto"/>
            </w:tcBorders>
            <w:hideMark/>
          </w:tcPr>
          <w:p w:rsidR="006A5F13" w:rsidRDefault="006A5F13">
            <w:pPr>
              <w:jc w:val="right"/>
              <w:rPr>
                <w:rFonts w:ascii="Arial" w:hAnsi="Arial" w:cs="Arial"/>
                <w:b/>
                <w:color w:val="000000"/>
                <w:sz w:val="17"/>
                <w:szCs w:val="17"/>
              </w:rPr>
            </w:pPr>
            <w:r>
              <w:rPr>
                <w:rFonts w:ascii="Arial" w:hAnsi="Arial" w:cs="Arial"/>
                <w:b/>
                <w:color w:val="000000"/>
                <w:sz w:val="17"/>
                <w:szCs w:val="17"/>
              </w:rPr>
              <w:t>393,211,926</w:t>
            </w:r>
          </w:p>
        </w:tc>
      </w:tr>
    </w:tbl>
    <w:p w:rsidR="006A5F13" w:rsidRDefault="006A5F13" w:rsidP="006A5F13">
      <w:pPr>
        <w:rPr>
          <w:rFonts w:ascii="Arial" w:eastAsia="Calibri" w:hAnsi="Arial" w:cs="Arial"/>
          <w:b/>
          <w:spacing w:val="-1"/>
          <w:sz w:val="17"/>
          <w:szCs w:val="17"/>
        </w:rPr>
      </w:pPr>
      <w:r>
        <w:rPr>
          <w:rFonts w:ascii="Arial" w:eastAsia="Calibri" w:hAnsi="Arial" w:cs="Arial"/>
          <w:b/>
          <w:spacing w:val="-1"/>
          <w:sz w:val="17"/>
          <w:szCs w:val="17"/>
        </w:rPr>
        <w:br w:type="page"/>
      </w: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lastRenderedPageBreak/>
        <w:t>Fideicomisos, Mandatos y Análogos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referente a los Fideicomisos, mandatos y análogos de los cuales es fideicomitente o fideicomisario, en conformidad con el “</w:t>
      </w:r>
      <w:r>
        <w:rPr>
          <w:rFonts w:ascii="Arial" w:eastAsia="Calibri" w:hAnsi="Arial" w:cs="Arial"/>
          <w:b/>
          <w:spacing w:val="-1"/>
          <w:sz w:val="17"/>
          <w:szCs w:val="17"/>
        </w:rPr>
        <w:t>Lineamientos que deberán observar los entes públicos para registrar en las cuentas de activo los fideicomisos sin estructura orgánica y contratos análogos, incluyendo mandatos</w:t>
      </w:r>
      <w:r>
        <w:rPr>
          <w:rFonts w:ascii="Arial" w:eastAsia="Calibri" w:hAnsi="Arial" w:cs="Arial"/>
          <w:spacing w:val="-1"/>
          <w:sz w:val="17"/>
          <w:szCs w:val="17"/>
        </w:rPr>
        <w:t>”, se registraron de la siguiente manera:</w:t>
      </w: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288"/>
        <w:gridCol w:w="8930"/>
        <w:gridCol w:w="24"/>
        <w:gridCol w:w="1392"/>
      </w:tblGrid>
      <w:tr w:rsidR="006A5F13" w:rsidTr="006A5F13">
        <w:trPr>
          <w:trHeight w:val="300"/>
        </w:trPr>
        <w:tc>
          <w:tcPr>
            <w:tcW w:w="10634"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6A5F13" w:rsidRDefault="006A5F13">
            <w:pPr>
              <w:tabs>
                <w:tab w:val="left" w:pos="9859"/>
              </w:tabs>
              <w:jc w:val="center"/>
              <w:rPr>
                <w:rFonts w:ascii="Arial" w:hAnsi="Arial" w:cs="Arial"/>
                <w:color w:val="000000"/>
                <w:sz w:val="17"/>
                <w:szCs w:val="17"/>
              </w:rPr>
            </w:pPr>
            <w:r>
              <w:rPr>
                <w:rFonts w:ascii="Arial" w:hAnsi="Arial" w:cs="Arial"/>
                <w:b/>
                <w:bCs/>
                <w:color w:val="000000"/>
                <w:sz w:val="17"/>
                <w:szCs w:val="17"/>
              </w:rPr>
              <w:t>Secretaría de Planeación y Finanzas</w:t>
            </w:r>
          </w:p>
        </w:tc>
      </w:tr>
      <w:tr w:rsidR="006A5F13" w:rsidTr="006A5F13">
        <w:trPr>
          <w:trHeight w:val="300"/>
        </w:trPr>
        <w:tc>
          <w:tcPr>
            <w:tcW w:w="288" w:type="dxa"/>
            <w:noWrap/>
            <w:vAlign w:val="bottom"/>
            <w:hideMark/>
          </w:tcPr>
          <w:p w:rsidR="006A5F13" w:rsidRDefault="006A5F13">
            <w:pPr>
              <w:rPr>
                <w:rFonts w:ascii="Arial" w:hAnsi="Arial" w:cs="Arial"/>
                <w:color w:val="000000"/>
                <w:sz w:val="17"/>
                <w:szCs w:val="17"/>
              </w:rPr>
            </w:pPr>
          </w:p>
        </w:tc>
        <w:tc>
          <w:tcPr>
            <w:tcW w:w="8930" w:type="dxa"/>
            <w:tcBorders>
              <w:top w:val="nil"/>
              <w:left w:val="single" w:sz="4" w:space="0" w:color="auto"/>
              <w:bottom w:val="single" w:sz="4" w:space="0" w:color="auto"/>
              <w:right w:val="single" w:sz="4" w:space="0" w:color="auto"/>
            </w:tcBorders>
            <w:noWrap/>
            <w:vAlign w:val="bottom"/>
            <w:hideMark/>
          </w:tcPr>
          <w:p w:rsidR="006A5F13" w:rsidRDefault="006A5F13">
            <w:pPr>
              <w:ind w:right="1277"/>
              <w:rPr>
                <w:rFonts w:ascii="Arial" w:hAnsi="Arial" w:cs="Arial"/>
                <w:color w:val="000000"/>
                <w:sz w:val="17"/>
                <w:szCs w:val="17"/>
              </w:rPr>
            </w:pPr>
            <w:r>
              <w:rPr>
                <w:rFonts w:ascii="Arial" w:hAnsi="Arial" w:cs="Arial"/>
                <w:color w:val="000000"/>
                <w:sz w:val="17"/>
                <w:szCs w:val="17"/>
              </w:rPr>
              <w:t>Fondo metropolitano ciudad de Querétaro</w:t>
            </w:r>
          </w:p>
        </w:tc>
        <w:tc>
          <w:tcPr>
            <w:tcW w:w="1416" w:type="dxa"/>
            <w:gridSpan w:val="2"/>
            <w:tcBorders>
              <w:top w:val="nil"/>
              <w:left w:val="nil"/>
              <w:bottom w:val="single" w:sz="4" w:space="0" w:color="auto"/>
              <w:right w:val="single" w:sz="4" w:space="0" w:color="auto"/>
            </w:tcBorders>
            <w:noWrap/>
            <w:vAlign w:val="bottom"/>
            <w:hideMark/>
          </w:tcPr>
          <w:p w:rsidR="006A5F13" w:rsidRDefault="006A5F13">
            <w:pPr>
              <w:jc w:val="right"/>
              <w:rPr>
                <w:rFonts w:ascii="Arial" w:hAnsi="Arial" w:cs="Arial"/>
                <w:color w:val="000000"/>
                <w:sz w:val="17"/>
                <w:szCs w:val="17"/>
              </w:rPr>
            </w:pPr>
            <w:r>
              <w:rPr>
                <w:rFonts w:ascii="Arial" w:hAnsi="Arial" w:cs="Arial"/>
                <w:color w:val="000000"/>
                <w:sz w:val="17"/>
                <w:szCs w:val="17"/>
              </w:rPr>
              <w:t>36,196</w:t>
            </w:r>
          </w:p>
        </w:tc>
      </w:tr>
      <w:tr w:rsidR="006A5F13" w:rsidTr="006A5F13">
        <w:trPr>
          <w:trHeight w:val="300"/>
        </w:trPr>
        <w:tc>
          <w:tcPr>
            <w:tcW w:w="288" w:type="dxa"/>
            <w:noWrap/>
            <w:vAlign w:val="bottom"/>
            <w:hideMark/>
          </w:tcPr>
          <w:p w:rsidR="006A5F13" w:rsidRDefault="006A5F13">
            <w:pPr>
              <w:rPr>
                <w:rFonts w:ascii="Arial" w:hAnsi="Arial" w:cs="Arial"/>
                <w:color w:val="000000"/>
                <w:sz w:val="17"/>
                <w:szCs w:val="17"/>
              </w:rPr>
            </w:pPr>
          </w:p>
        </w:tc>
        <w:tc>
          <w:tcPr>
            <w:tcW w:w="8954" w:type="dxa"/>
            <w:gridSpan w:val="2"/>
            <w:noWrap/>
            <w:vAlign w:val="bottom"/>
          </w:tcPr>
          <w:p w:rsidR="006A5F13" w:rsidRDefault="006A5F13">
            <w:pPr>
              <w:rPr>
                <w:rFonts w:ascii="Arial" w:hAnsi="Arial" w:cs="Arial"/>
                <w:sz w:val="17"/>
                <w:szCs w:val="17"/>
              </w:rPr>
            </w:pPr>
          </w:p>
        </w:tc>
        <w:tc>
          <w:tcPr>
            <w:tcW w:w="1392" w:type="dxa"/>
            <w:noWrap/>
            <w:vAlign w:val="bottom"/>
            <w:hideMark/>
          </w:tcPr>
          <w:p w:rsidR="006A5F13" w:rsidRDefault="006A5F13">
            <w:pPr>
              <w:rPr>
                <w:rFonts w:ascii="Arial" w:hAnsi="Arial" w:cs="Arial"/>
                <w:sz w:val="17"/>
                <w:szCs w:val="17"/>
              </w:rPr>
            </w:pPr>
          </w:p>
        </w:tc>
      </w:tr>
      <w:tr w:rsidR="006A5F13" w:rsidTr="006A5F13">
        <w:trPr>
          <w:trHeight w:val="300"/>
        </w:trPr>
        <w:tc>
          <w:tcPr>
            <w:tcW w:w="10634" w:type="dxa"/>
            <w:gridSpan w:val="4"/>
            <w:tcBorders>
              <w:top w:val="single" w:sz="4" w:space="0" w:color="auto"/>
              <w:left w:val="single" w:sz="4" w:space="0" w:color="auto"/>
              <w:bottom w:val="single" w:sz="4" w:space="0" w:color="auto"/>
              <w:right w:val="single" w:sz="4" w:space="0" w:color="auto"/>
            </w:tcBorders>
            <w:shd w:val="clear" w:color="auto" w:fill="B4C6E7"/>
            <w:noWrap/>
            <w:vAlign w:val="bottom"/>
            <w:hideMark/>
          </w:tcPr>
          <w:p w:rsidR="006A5F13" w:rsidRDefault="006A5F13">
            <w:pPr>
              <w:jc w:val="center"/>
              <w:rPr>
                <w:rFonts w:ascii="Arial" w:hAnsi="Arial" w:cs="Arial"/>
                <w:b/>
                <w:bCs/>
                <w:color w:val="000000"/>
                <w:sz w:val="17"/>
                <w:szCs w:val="17"/>
              </w:rPr>
            </w:pPr>
            <w:r>
              <w:rPr>
                <w:rFonts w:ascii="Arial" w:hAnsi="Arial" w:cs="Arial"/>
                <w:b/>
                <w:bCs/>
                <w:color w:val="000000"/>
                <w:sz w:val="17"/>
                <w:szCs w:val="17"/>
              </w:rPr>
              <w:t>Secretaría de Educación</w:t>
            </w:r>
          </w:p>
        </w:tc>
      </w:tr>
      <w:tr w:rsidR="006A5F13" w:rsidTr="006A5F13">
        <w:trPr>
          <w:trHeight w:val="300"/>
        </w:trPr>
        <w:tc>
          <w:tcPr>
            <w:tcW w:w="288" w:type="dxa"/>
            <w:noWrap/>
            <w:vAlign w:val="bottom"/>
            <w:hideMark/>
          </w:tcPr>
          <w:p w:rsidR="006A5F13" w:rsidRDefault="006A5F13">
            <w:pPr>
              <w:rPr>
                <w:rFonts w:ascii="Arial" w:hAnsi="Arial" w:cs="Arial"/>
                <w:b/>
                <w:bCs/>
                <w:color w:val="000000"/>
                <w:sz w:val="17"/>
                <w:szCs w:val="17"/>
              </w:rPr>
            </w:pPr>
          </w:p>
        </w:tc>
        <w:tc>
          <w:tcPr>
            <w:tcW w:w="8954" w:type="dxa"/>
            <w:gridSpan w:val="2"/>
            <w:tcBorders>
              <w:top w:val="nil"/>
              <w:left w:val="single" w:sz="4" w:space="0" w:color="auto"/>
              <w:bottom w:val="single" w:sz="4" w:space="0" w:color="auto"/>
              <w:right w:val="single" w:sz="4" w:space="0" w:color="auto"/>
            </w:tcBorders>
            <w:noWrap/>
            <w:vAlign w:val="bottom"/>
            <w:hideMark/>
          </w:tcPr>
          <w:p w:rsidR="006A5F13" w:rsidRDefault="006A5F13">
            <w:pPr>
              <w:rPr>
                <w:rFonts w:ascii="Arial" w:hAnsi="Arial" w:cs="Arial"/>
                <w:color w:val="000000"/>
                <w:sz w:val="17"/>
                <w:szCs w:val="17"/>
              </w:rPr>
            </w:pPr>
            <w:r>
              <w:rPr>
                <w:rFonts w:ascii="Arial" w:hAnsi="Arial" w:cs="Arial"/>
                <w:color w:val="000000"/>
                <w:sz w:val="17"/>
                <w:szCs w:val="17"/>
              </w:rPr>
              <w:t>PRONABES</w:t>
            </w:r>
          </w:p>
        </w:tc>
        <w:tc>
          <w:tcPr>
            <w:tcW w:w="1392" w:type="dxa"/>
            <w:tcBorders>
              <w:top w:val="nil"/>
              <w:left w:val="nil"/>
              <w:bottom w:val="single" w:sz="4" w:space="0" w:color="auto"/>
              <w:right w:val="single" w:sz="4" w:space="0" w:color="auto"/>
            </w:tcBorders>
            <w:noWrap/>
            <w:vAlign w:val="bottom"/>
            <w:hideMark/>
          </w:tcPr>
          <w:p w:rsidR="006A5F13" w:rsidRDefault="006A5F13">
            <w:pPr>
              <w:jc w:val="right"/>
              <w:rPr>
                <w:rFonts w:ascii="Arial" w:hAnsi="Arial" w:cs="Arial"/>
                <w:color w:val="000000"/>
                <w:sz w:val="17"/>
                <w:szCs w:val="17"/>
              </w:rPr>
            </w:pPr>
            <w:r>
              <w:rPr>
                <w:rFonts w:ascii="Arial" w:hAnsi="Arial" w:cs="Arial"/>
                <w:color w:val="000000"/>
                <w:sz w:val="17"/>
                <w:szCs w:val="17"/>
              </w:rPr>
              <w:t>39,354,550</w:t>
            </w:r>
          </w:p>
        </w:tc>
      </w:tr>
    </w:tbl>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rPr>
          <w:rFonts w:ascii="Arial" w:eastAsia="Calibri" w:hAnsi="Arial" w:cs="Arial"/>
          <w:sz w:val="17"/>
          <w:szCs w:val="17"/>
        </w:rPr>
      </w:pPr>
    </w:p>
    <w:p w:rsidR="006A5F13" w:rsidRDefault="006A5F13" w:rsidP="006A5F13">
      <w:pPr>
        <w:rPr>
          <w:rFonts w:ascii="Arial" w:eastAsia="Calibri" w:hAnsi="Arial" w:cs="Arial"/>
          <w:sz w:val="17"/>
          <w:szCs w:val="17"/>
        </w:rPr>
      </w:pPr>
    </w:p>
    <w:p w:rsidR="006A5F13" w:rsidRDefault="006A5F13" w:rsidP="006A5F13">
      <w:pPr>
        <w:rPr>
          <w:rFonts w:ascii="Arial" w:eastAsia="Calibri" w:hAnsi="Arial" w:cs="Arial"/>
          <w:sz w:val="17"/>
          <w:szCs w:val="17"/>
        </w:rPr>
      </w:pPr>
    </w:p>
    <w:p w:rsidR="006A5F13" w:rsidRDefault="006A5F13" w:rsidP="006A5F13">
      <w:pPr>
        <w:rPr>
          <w:rFonts w:ascii="Arial" w:eastAsia="Calibri" w:hAnsi="Arial" w:cs="Arial"/>
          <w:sz w:val="17"/>
          <w:szCs w:val="17"/>
        </w:rPr>
      </w:pP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br w:type="textWrapping" w:clear="all"/>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señala que el Fideicomiso con INVEX para la administración y pago de las obligaciones derivadas de la deuda con BBVA Bancomer presenta saldo de 0 al cierre del ejercicio.</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Reporte de la Recaudación</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32% de los ingresos de gestión está representado por el Impuesto sobre Nóminas, seguido de los Derechos por Prestación de Servicios con un 22%.</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Adicionalmente se informa que dentro los ingresos de gestión los rubros que presentan una mayor variación son: los Productos de Tipo Corriente, Impuestos y Derechos.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ingresos que se esperan recibir en el ejercicio 2018, se detallan de manera puntual en la Ley de Ingresos del Estado de Querétaro para el ejercicio 2018.</w:t>
      </w:r>
    </w:p>
    <w:p w:rsidR="006A5F13" w:rsidRDefault="006A5F13" w:rsidP="006A5F13">
      <w:pPr>
        <w:rPr>
          <w:rFonts w:ascii="Arial" w:eastAsia="Calibri" w:hAnsi="Arial" w:cs="Arial"/>
          <w:spacing w:val="-1"/>
          <w:sz w:val="17"/>
          <w:szCs w:val="17"/>
        </w:rPr>
      </w:pPr>
      <w:r>
        <w:rPr>
          <w:rFonts w:ascii="Arial" w:eastAsia="Calibri" w:hAnsi="Arial" w:cs="Arial"/>
          <w:spacing w:val="-1"/>
          <w:sz w:val="17"/>
          <w:szCs w:val="17"/>
        </w:rPr>
        <w:br w:type="page"/>
      </w: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lastRenderedPageBreak/>
        <w:t>Información sobre la Deuda y el Reporte Analítico de la Deuda</w:t>
      </w:r>
    </w:p>
    <w:p w:rsidR="006A5F13" w:rsidRDefault="006A5F13" w:rsidP="006A5F13">
      <w:pPr>
        <w:spacing w:before="120" w:after="120" w:line="240" w:lineRule="exact"/>
        <w:jc w:val="both"/>
        <w:rPr>
          <w:rFonts w:ascii="Arial" w:eastAsia="Calibri" w:hAnsi="Arial" w:cs="Arial"/>
          <w:b/>
          <w:spacing w:val="-1"/>
          <w:sz w:val="17"/>
          <w:szCs w:val="17"/>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09"/>
        <w:gridCol w:w="709"/>
        <w:gridCol w:w="1402"/>
        <w:gridCol w:w="1416"/>
        <w:gridCol w:w="1006"/>
        <w:gridCol w:w="857"/>
        <w:gridCol w:w="991"/>
        <w:gridCol w:w="9"/>
        <w:gridCol w:w="866"/>
        <w:gridCol w:w="866"/>
      </w:tblGrid>
      <w:tr w:rsidR="006A5F13" w:rsidTr="006A5F13">
        <w:trPr>
          <w:trHeight w:val="538"/>
          <w:jc w:val="center"/>
        </w:trPr>
        <w:tc>
          <w:tcPr>
            <w:tcW w:w="10521" w:type="dxa"/>
            <w:gridSpan w:val="11"/>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sz w:val="18"/>
                <w:szCs w:val="18"/>
              </w:rPr>
            </w:pPr>
            <w:r>
              <w:rPr>
                <w:rFonts w:ascii="Arial" w:hAnsi="Arial" w:cs="Arial"/>
                <w:sz w:val="18"/>
                <w:szCs w:val="18"/>
              </w:rPr>
              <w:t>PODER EJECUTIVO DEL ESTADO DE QUERÉTARO</w:t>
            </w:r>
          </w:p>
          <w:p w:rsidR="006A5F13" w:rsidRDefault="006A5F13">
            <w:pPr>
              <w:ind w:left="-57"/>
              <w:jc w:val="center"/>
              <w:rPr>
                <w:rFonts w:ascii="Arial" w:hAnsi="Arial" w:cs="Arial"/>
                <w:sz w:val="18"/>
                <w:szCs w:val="18"/>
              </w:rPr>
            </w:pPr>
            <w:r>
              <w:rPr>
                <w:rFonts w:ascii="Arial" w:hAnsi="Arial" w:cs="Arial"/>
                <w:sz w:val="18"/>
                <w:szCs w:val="18"/>
              </w:rPr>
              <w:t>Formato de información de obligaciones pagadas o garantizadas con fondos federales</w:t>
            </w:r>
          </w:p>
          <w:p w:rsidR="006A5F13" w:rsidRDefault="006A5F13">
            <w:pPr>
              <w:autoSpaceDE w:val="0"/>
              <w:autoSpaceDN w:val="0"/>
              <w:adjustRightInd w:val="0"/>
              <w:jc w:val="center"/>
              <w:rPr>
                <w:rFonts w:ascii="Arial" w:hAnsi="Arial" w:cs="Arial"/>
                <w:color w:val="000000"/>
                <w:sz w:val="14"/>
                <w:szCs w:val="14"/>
              </w:rPr>
            </w:pPr>
            <w:r>
              <w:rPr>
                <w:rFonts w:ascii="Arial" w:hAnsi="Arial" w:cs="Arial"/>
                <w:sz w:val="18"/>
                <w:szCs w:val="18"/>
              </w:rPr>
              <w:t>Al período al 4to trimestre de 2017</w:t>
            </w:r>
          </w:p>
        </w:tc>
      </w:tr>
      <w:tr w:rsidR="006A5F13" w:rsidTr="006A5F13">
        <w:trPr>
          <w:trHeight w:val="70"/>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right="-57"/>
              <w:jc w:val="center"/>
              <w:rPr>
                <w:rFonts w:ascii="Arial" w:hAnsi="Arial" w:cs="Arial"/>
                <w:color w:val="000000"/>
                <w:sz w:val="14"/>
                <w:szCs w:val="14"/>
              </w:rPr>
            </w:pPr>
            <w:r>
              <w:rPr>
                <w:rFonts w:ascii="Arial" w:hAnsi="Arial" w:cs="Arial"/>
                <w:color w:val="000000"/>
                <w:sz w:val="14"/>
                <w:szCs w:val="14"/>
              </w:rPr>
              <w:t>Tipo de Obligación</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right="-57"/>
              <w:jc w:val="center"/>
              <w:rPr>
                <w:rFonts w:ascii="Arial" w:hAnsi="Arial" w:cs="Arial"/>
                <w:color w:val="000000"/>
                <w:sz w:val="14"/>
                <w:szCs w:val="14"/>
              </w:rPr>
            </w:pPr>
            <w:r>
              <w:rPr>
                <w:rFonts w:ascii="Arial" w:hAnsi="Arial" w:cs="Arial"/>
                <w:color w:val="000000"/>
                <w:sz w:val="14"/>
                <w:szCs w:val="14"/>
              </w:rPr>
              <w:t>Plazo</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right="-57"/>
              <w:jc w:val="center"/>
              <w:rPr>
                <w:rFonts w:ascii="Arial" w:hAnsi="Arial" w:cs="Arial"/>
                <w:color w:val="000000"/>
                <w:sz w:val="14"/>
                <w:szCs w:val="14"/>
              </w:rPr>
            </w:pPr>
            <w:r>
              <w:rPr>
                <w:rFonts w:ascii="Arial" w:hAnsi="Arial" w:cs="Arial"/>
                <w:color w:val="000000"/>
                <w:sz w:val="14"/>
                <w:szCs w:val="14"/>
              </w:rPr>
              <w:t>Tasa</w:t>
            </w:r>
          </w:p>
        </w:tc>
        <w:tc>
          <w:tcPr>
            <w:tcW w:w="1403" w:type="dxa"/>
            <w:vMerge w:val="restart"/>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right="-57"/>
              <w:jc w:val="center"/>
              <w:rPr>
                <w:rFonts w:ascii="Arial" w:hAnsi="Arial" w:cs="Arial"/>
                <w:color w:val="000000"/>
                <w:sz w:val="14"/>
                <w:szCs w:val="14"/>
              </w:rPr>
            </w:pPr>
            <w:r>
              <w:rPr>
                <w:rFonts w:ascii="Arial" w:hAnsi="Arial" w:cs="Arial"/>
                <w:color w:val="000000"/>
                <w:sz w:val="14"/>
                <w:szCs w:val="14"/>
              </w:rPr>
              <w:t>Fin, Destino y Objeto</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right="-57"/>
              <w:jc w:val="center"/>
              <w:rPr>
                <w:rFonts w:ascii="Arial" w:hAnsi="Arial" w:cs="Arial"/>
                <w:color w:val="000000"/>
                <w:sz w:val="14"/>
                <w:szCs w:val="14"/>
              </w:rPr>
            </w:pPr>
            <w:r>
              <w:rPr>
                <w:rFonts w:ascii="Arial" w:hAnsi="Arial" w:cs="Arial"/>
                <w:color w:val="000000"/>
                <w:sz w:val="14"/>
                <w:szCs w:val="14"/>
              </w:rPr>
              <w:t>Acreedor, Proveedor o Contratista</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right="-57"/>
              <w:jc w:val="center"/>
              <w:rPr>
                <w:rFonts w:ascii="Arial" w:hAnsi="Arial" w:cs="Arial"/>
                <w:color w:val="000000"/>
                <w:sz w:val="14"/>
                <w:szCs w:val="14"/>
              </w:rPr>
            </w:pPr>
            <w:r>
              <w:rPr>
                <w:rFonts w:ascii="Arial" w:hAnsi="Arial" w:cs="Arial"/>
                <w:color w:val="000000"/>
                <w:sz w:val="14"/>
                <w:szCs w:val="14"/>
              </w:rPr>
              <w:t>Importe Total</w:t>
            </w:r>
          </w:p>
        </w:tc>
        <w:tc>
          <w:tcPr>
            <w:tcW w:w="857" w:type="dxa"/>
            <w:tcBorders>
              <w:top w:val="single" w:sz="4" w:space="0" w:color="auto"/>
              <w:left w:val="single" w:sz="4" w:space="0" w:color="auto"/>
              <w:bottom w:val="single" w:sz="4" w:space="0" w:color="auto"/>
              <w:right w:val="single" w:sz="4" w:space="0" w:color="auto"/>
            </w:tcBorders>
          </w:tcPr>
          <w:p w:rsidR="006A5F13" w:rsidRDefault="006A5F13">
            <w:pPr>
              <w:ind w:left="-57" w:right="-57"/>
              <w:jc w:val="cente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6A5F13" w:rsidRDefault="006A5F13">
            <w:pPr>
              <w:ind w:left="-57" w:right="-57"/>
              <w:jc w:val="center"/>
              <w:rPr>
                <w:rFonts w:ascii="Arial" w:hAnsi="Arial" w:cs="Arial"/>
                <w:color w:val="000000"/>
                <w:sz w:val="14"/>
                <w:szCs w:val="14"/>
              </w:rPr>
            </w:pPr>
          </w:p>
        </w:tc>
        <w:tc>
          <w:tcPr>
            <w:tcW w:w="1741" w:type="dxa"/>
            <w:gridSpan w:val="3"/>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right="-57"/>
              <w:jc w:val="center"/>
              <w:rPr>
                <w:rFonts w:ascii="Arial" w:hAnsi="Arial" w:cs="Arial"/>
                <w:color w:val="000000"/>
                <w:sz w:val="14"/>
                <w:szCs w:val="14"/>
              </w:rPr>
            </w:pPr>
            <w:r>
              <w:rPr>
                <w:rFonts w:ascii="Arial" w:hAnsi="Arial" w:cs="Arial"/>
                <w:color w:val="000000"/>
                <w:sz w:val="14"/>
                <w:szCs w:val="14"/>
              </w:rPr>
              <w:t xml:space="preserve">Importe y porcentaje del total que se paga y garantiza con el recurso de dichos fondos </w:t>
            </w:r>
          </w:p>
        </w:tc>
      </w:tr>
      <w:tr w:rsidR="006A5F13" w:rsidTr="006A5F13">
        <w:trPr>
          <w:trHeight w:val="300"/>
          <w:jc w:val="center"/>
        </w:trPr>
        <w:tc>
          <w:tcPr>
            <w:tcW w:w="10521" w:type="dxa"/>
            <w:vMerge/>
            <w:tcBorders>
              <w:top w:val="single" w:sz="4" w:space="0" w:color="auto"/>
              <w:left w:val="single" w:sz="4" w:space="0" w:color="auto"/>
              <w:bottom w:val="single" w:sz="4" w:space="0" w:color="auto"/>
              <w:right w:val="single" w:sz="4" w:space="0" w:color="auto"/>
            </w:tcBorders>
            <w:vAlign w:val="center"/>
            <w:hideMark/>
          </w:tcPr>
          <w:p w:rsidR="006A5F13" w:rsidRDefault="006A5F1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5F13" w:rsidRDefault="006A5F1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5F13" w:rsidRDefault="006A5F13">
            <w:pPr>
              <w:rPr>
                <w:rFonts w:ascii="Arial" w:hAnsi="Arial" w:cs="Arial"/>
                <w:color w:val="000000"/>
                <w:sz w:val="14"/>
                <w:szCs w:val="1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6A5F13" w:rsidRDefault="006A5F13">
            <w:pPr>
              <w:rPr>
                <w:rFonts w:ascii="Arial" w:hAnsi="Arial" w:cs="Arial"/>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5F13" w:rsidRDefault="006A5F13">
            <w:pPr>
              <w:rPr>
                <w:rFonts w:ascii="Arial" w:hAnsi="Arial" w:cs="Arial"/>
                <w:color w:val="000000"/>
                <w:sz w:val="14"/>
                <w:szCs w:val="14"/>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6A5F13" w:rsidRDefault="006A5F13">
            <w:pPr>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Fondo</w:t>
            </w:r>
          </w:p>
        </w:tc>
        <w:tc>
          <w:tcPr>
            <w:tcW w:w="1001" w:type="dxa"/>
            <w:gridSpan w:val="2"/>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 xml:space="preserve">Importe Garantizado </w:t>
            </w:r>
          </w:p>
        </w:tc>
        <w:tc>
          <w:tcPr>
            <w:tcW w:w="866"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Importe Pagado</w:t>
            </w:r>
          </w:p>
        </w:tc>
        <w:tc>
          <w:tcPr>
            <w:tcW w:w="866"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 xml:space="preserve">% respecto al total </w:t>
            </w:r>
          </w:p>
        </w:tc>
      </w:tr>
      <w:tr w:rsidR="006A5F13" w:rsidTr="006A5F13">
        <w:trPr>
          <w:trHeight w:val="300"/>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SUSTITUCION DE CREDITO</w:t>
            </w:r>
          </w:p>
        </w:tc>
        <w:tc>
          <w:tcPr>
            <w:tcW w:w="709"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20 AÑOS</w:t>
            </w:r>
          </w:p>
        </w:tc>
        <w:tc>
          <w:tcPr>
            <w:tcW w:w="709"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TIIE +.45</w:t>
            </w:r>
          </w:p>
        </w:tc>
        <w:tc>
          <w:tcPr>
            <w:tcW w:w="1403"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OBRA PUBLICA PRODUCTIVA</w:t>
            </w:r>
          </w:p>
        </w:tc>
        <w:tc>
          <w:tcPr>
            <w:tcW w:w="1417"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BBVA BANCOMER</w:t>
            </w:r>
          </w:p>
        </w:tc>
        <w:tc>
          <w:tcPr>
            <w:tcW w:w="1007" w:type="dxa"/>
            <w:tcBorders>
              <w:top w:val="single" w:sz="4" w:space="0" w:color="auto"/>
              <w:left w:val="single" w:sz="4" w:space="0" w:color="auto"/>
              <w:bottom w:val="single" w:sz="4" w:space="0" w:color="auto"/>
              <w:right w:val="single" w:sz="4" w:space="0" w:color="auto"/>
            </w:tcBorders>
            <w:vAlign w:val="center"/>
          </w:tcPr>
          <w:p w:rsidR="006A5F13" w:rsidRDefault="006A5F13">
            <w:pPr>
              <w:ind w:left="-57"/>
              <w:jc w:val="center"/>
              <w:rPr>
                <w:rFonts w:ascii="Arial" w:hAnsi="Arial" w:cs="Arial"/>
                <w:color w:val="000000"/>
                <w:sz w:val="14"/>
                <w:szCs w:val="14"/>
              </w:rPr>
            </w:pPr>
            <w:r>
              <w:rPr>
                <w:rFonts w:ascii="Arial" w:hAnsi="Arial" w:cs="Arial"/>
                <w:color w:val="000000"/>
                <w:sz w:val="14"/>
                <w:szCs w:val="14"/>
              </w:rPr>
              <w:t>1´045,576,193</w:t>
            </w:r>
          </w:p>
          <w:p w:rsidR="006A5F13" w:rsidRDefault="006A5F13">
            <w:pPr>
              <w:ind w:left="-57"/>
              <w:jc w:val="center"/>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hideMark/>
          </w:tcPr>
          <w:p w:rsidR="006A5F13" w:rsidRDefault="006A5F13">
            <w:pPr>
              <w:rPr>
                <w:rFonts w:ascii="Arial" w:hAnsi="Arial" w:cs="Arial"/>
                <w:color w:val="000000"/>
                <w:sz w:val="14"/>
                <w:szCs w:val="14"/>
              </w:rPr>
            </w:pPr>
            <w:r>
              <w:rPr>
                <w:rFonts w:ascii="Arial" w:hAnsi="Arial" w:cs="Arial"/>
                <w:color w:val="000000"/>
                <w:sz w:val="14"/>
                <w:szCs w:val="14"/>
              </w:rPr>
              <w:t xml:space="preserve">GEQ REC PROPIO </w:t>
            </w:r>
          </w:p>
        </w:tc>
        <w:tc>
          <w:tcPr>
            <w:tcW w:w="1001" w:type="dxa"/>
            <w:gridSpan w:val="2"/>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9,454,956</w:t>
            </w:r>
          </w:p>
        </w:tc>
        <w:tc>
          <w:tcPr>
            <w:tcW w:w="866"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9,454,956</w:t>
            </w:r>
          </w:p>
        </w:tc>
        <w:tc>
          <w:tcPr>
            <w:tcW w:w="866"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.904%</w:t>
            </w:r>
          </w:p>
        </w:tc>
      </w:tr>
      <w:tr w:rsidR="006A5F13" w:rsidTr="006A5F13">
        <w:trPr>
          <w:trHeight w:val="300"/>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SUSTITUCION DE CREDITO</w:t>
            </w:r>
          </w:p>
        </w:tc>
        <w:tc>
          <w:tcPr>
            <w:tcW w:w="709"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20 AÑOS</w:t>
            </w:r>
          </w:p>
        </w:tc>
        <w:tc>
          <w:tcPr>
            <w:tcW w:w="709"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TIIE +.45</w:t>
            </w:r>
          </w:p>
        </w:tc>
        <w:tc>
          <w:tcPr>
            <w:tcW w:w="1403"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OBRA PUBLICA PRODUCTIVA</w:t>
            </w:r>
          </w:p>
        </w:tc>
        <w:tc>
          <w:tcPr>
            <w:tcW w:w="1417"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BBVA BANCOMER</w:t>
            </w:r>
          </w:p>
        </w:tc>
        <w:tc>
          <w:tcPr>
            <w:tcW w:w="1007" w:type="dxa"/>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1’041,805,320</w:t>
            </w:r>
          </w:p>
        </w:tc>
        <w:tc>
          <w:tcPr>
            <w:tcW w:w="857"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RAMO 28</w:t>
            </w:r>
          </w:p>
        </w:tc>
        <w:tc>
          <w:tcPr>
            <w:tcW w:w="1001" w:type="dxa"/>
            <w:gridSpan w:val="2"/>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 xml:space="preserve">  9´332,970</w:t>
            </w:r>
          </w:p>
        </w:tc>
        <w:tc>
          <w:tcPr>
            <w:tcW w:w="866"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9’332,970</w:t>
            </w:r>
          </w:p>
        </w:tc>
        <w:tc>
          <w:tcPr>
            <w:tcW w:w="866"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.896%</w:t>
            </w:r>
          </w:p>
        </w:tc>
      </w:tr>
      <w:tr w:rsidR="006A5F13" w:rsidTr="006A5F13">
        <w:trPr>
          <w:trHeight w:val="300"/>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SUSTITUCION DE CREDITO</w:t>
            </w:r>
          </w:p>
        </w:tc>
        <w:tc>
          <w:tcPr>
            <w:tcW w:w="709"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20 AÑOS</w:t>
            </w:r>
          </w:p>
        </w:tc>
        <w:tc>
          <w:tcPr>
            <w:tcW w:w="709"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TIIE +.45</w:t>
            </w:r>
          </w:p>
        </w:tc>
        <w:tc>
          <w:tcPr>
            <w:tcW w:w="1403"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OBRA  PUBLICA PRODUCTIVA</w:t>
            </w:r>
          </w:p>
        </w:tc>
        <w:tc>
          <w:tcPr>
            <w:tcW w:w="1417"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BBVA BANCOMER</w:t>
            </w:r>
          </w:p>
        </w:tc>
        <w:tc>
          <w:tcPr>
            <w:tcW w:w="1007" w:type="dxa"/>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1’013,888,902</w:t>
            </w:r>
          </w:p>
        </w:tc>
        <w:tc>
          <w:tcPr>
            <w:tcW w:w="857"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RAMO 23</w:t>
            </w:r>
          </w:p>
        </w:tc>
        <w:tc>
          <w:tcPr>
            <w:tcW w:w="1001" w:type="dxa"/>
            <w:gridSpan w:val="2"/>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73’424,538</w:t>
            </w:r>
          </w:p>
        </w:tc>
        <w:tc>
          <w:tcPr>
            <w:tcW w:w="866" w:type="dxa"/>
            <w:tcBorders>
              <w:top w:val="single" w:sz="4" w:space="0" w:color="auto"/>
              <w:left w:val="single" w:sz="4" w:space="0" w:color="auto"/>
              <w:bottom w:val="single" w:sz="4" w:space="0" w:color="auto"/>
              <w:right w:val="single" w:sz="4" w:space="0" w:color="auto"/>
            </w:tcBorders>
          </w:tcPr>
          <w:p w:rsidR="006A5F13" w:rsidRDefault="006A5F13">
            <w:pPr>
              <w:ind w:left="-57"/>
              <w:jc w:val="center"/>
              <w:rPr>
                <w:rFonts w:ascii="Arial" w:hAnsi="Arial" w:cs="Arial"/>
                <w:color w:val="000000"/>
                <w:sz w:val="14"/>
                <w:szCs w:val="14"/>
              </w:rPr>
            </w:pPr>
            <w:r>
              <w:rPr>
                <w:rFonts w:ascii="Arial" w:hAnsi="Arial" w:cs="Arial"/>
                <w:color w:val="000000"/>
                <w:sz w:val="14"/>
                <w:szCs w:val="14"/>
              </w:rPr>
              <w:t>73’424,538</w:t>
            </w:r>
          </w:p>
          <w:p w:rsidR="006A5F13" w:rsidRDefault="006A5F13">
            <w:pPr>
              <w:ind w:left="-57"/>
              <w:jc w:val="center"/>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7.24%</w:t>
            </w:r>
          </w:p>
        </w:tc>
      </w:tr>
      <w:tr w:rsidR="006A5F13" w:rsidTr="006A5F13">
        <w:trPr>
          <w:trHeight w:val="300"/>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SUSTITUCION DE CREDITO</w:t>
            </w:r>
          </w:p>
        </w:tc>
        <w:tc>
          <w:tcPr>
            <w:tcW w:w="709"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20 AÑOS</w:t>
            </w:r>
          </w:p>
        </w:tc>
        <w:tc>
          <w:tcPr>
            <w:tcW w:w="709"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TIIE +.45</w:t>
            </w:r>
          </w:p>
        </w:tc>
        <w:tc>
          <w:tcPr>
            <w:tcW w:w="1403"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OBRA  PUBLICA PRODUCTIVA</w:t>
            </w:r>
          </w:p>
        </w:tc>
        <w:tc>
          <w:tcPr>
            <w:tcW w:w="1417"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BBVA BANCOMER</w:t>
            </w:r>
          </w:p>
        </w:tc>
        <w:tc>
          <w:tcPr>
            <w:tcW w:w="1007" w:type="dxa"/>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 xml:space="preserve"> 949,962,064</w:t>
            </w:r>
          </w:p>
        </w:tc>
        <w:tc>
          <w:tcPr>
            <w:tcW w:w="857"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RAMO 33</w:t>
            </w:r>
          </w:p>
        </w:tc>
        <w:tc>
          <w:tcPr>
            <w:tcW w:w="1001" w:type="dxa"/>
            <w:gridSpan w:val="2"/>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83’908,178</w:t>
            </w:r>
          </w:p>
        </w:tc>
        <w:tc>
          <w:tcPr>
            <w:tcW w:w="866" w:type="dxa"/>
            <w:tcBorders>
              <w:top w:val="single" w:sz="4" w:space="0" w:color="auto"/>
              <w:left w:val="single" w:sz="4" w:space="0" w:color="auto"/>
              <w:bottom w:val="single" w:sz="4" w:space="0" w:color="auto"/>
              <w:right w:val="single" w:sz="4" w:space="0" w:color="auto"/>
            </w:tcBorders>
          </w:tcPr>
          <w:p w:rsidR="006A5F13" w:rsidRDefault="006A5F13">
            <w:pPr>
              <w:ind w:left="-57"/>
              <w:jc w:val="center"/>
              <w:rPr>
                <w:rFonts w:ascii="Arial" w:hAnsi="Arial" w:cs="Arial"/>
                <w:color w:val="000000"/>
                <w:sz w:val="14"/>
                <w:szCs w:val="14"/>
              </w:rPr>
            </w:pPr>
            <w:r>
              <w:rPr>
                <w:rFonts w:ascii="Arial" w:hAnsi="Arial" w:cs="Arial"/>
                <w:color w:val="000000"/>
                <w:sz w:val="14"/>
                <w:szCs w:val="14"/>
              </w:rPr>
              <w:t>83’908,178</w:t>
            </w:r>
          </w:p>
          <w:p w:rsidR="006A5F13" w:rsidRDefault="006A5F13">
            <w:pPr>
              <w:ind w:left="-57"/>
              <w:jc w:val="center"/>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8.83%</w:t>
            </w:r>
          </w:p>
        </w:tc>
      </w:tr>
      <w:tr w:rsidR="006A5F13" w:rsidTr="006A5F13">
        <w:trPr>
          <w:trHeight w:val="300"/>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SUSTITUCION DE CREDITO</w:t>
            </w:r>
          </w:p>
        </w:tc>
        <w:tc>
          <w:tcPr>
            <w:tcW w:w="709"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20 AÑOS</w:t>
            </w:r>
          </w:p>
        </w:tc>
        <w:tc>
          <w:tcPr>
            <w:tcW w:w="709"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TIIE +.45</w:t>
            </w:r>
          </w:p>
        </w:tc>
        <w:tc>
          <w:tcPr>
            <w:tcW w:w="1403"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OBRA PUBLICA PRODUCTIVA</w:t>
            </w:r>
          </w:p>
        </w:tc>
        <w:tc>
          <w:tcPr>
            <w:tcW w:w="1417"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BBVA BANCOMER</w:t>
            </w:r>
          </w:p>
        </w:tc>
        <w:tc>
          <w:tcPr>
            <w:tcW w:w="1007" w:type="dxa"/>
            <w:tcBorders>
              <w:top w:val="single" w:sz="4" w:space="0" w:color="auto"/>
              <w:left w:val="single" w:sz="4" w:space="0" w:color="auto"/>
              <w:bottom w:val="single" w:sz="4" w:space="0" w:color="auto"/>
              <w:right w:val="single" w:sz="4" w:space="0" w:color="auto"/>
            </w:tcBorders>
            <w:vAlign w:val="center"/>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701,067,582</w:t>
            </w:r>
          </w:p>
        </w:tc>
        <w:tc>
          <w:tcPr>
            <w:tcW w:w="857"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RAMO 28</w:t>
            </w:r>
          </w:p>
        </w:tc>
        <w:tc>
          <w:tcPr>
            <w:tcW w:w="1001" w:type="dxa"/>
            <w:gridSpan w:val="2"/>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248´894,483</w:t>
            </w:r>
          </w:p>
        </w:tc>
        <w:tc>
          <w:tcPr>
            <w:tcW w:w="866"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248’894,482</w:t>
            </w:r>
          </w:p>
        </w:tc>
        <w:tc>
          <w:tcPr>
            <w:tcW w:w="866" w:type="dxa"/>
            <w:tcBorders>
              <w:top w:val="single" w:sz="4" w:space="0" w:color="auto"/>
              <w:left w:val="single" w:sz="4" w:space="0" w:color="auto"/>
              <w:bottom w:val="single" w:sz="4" w:space="0" w:color="auto"/>
              <w:right w:val="single" w:sz="4" w:space="0" w:color="auto"/>
            </w:tcBorders>
            <w:hideMark/>
          </w:tcPr>
          <w:p w:rsidR="006A5F13" w:rsidRDefault="006A5F13">
            <w:pPr>
              <w:ind w:left="-57"/>
              <w:jc w:val="center"/>
              <w:rPr>
                <w:rFonts w:ascii="Arial" w:hAnsi="Arial" w:cs="Arial"/>
                <w:color w:val="000000"/>
                <w:sz w:val="14"/>
                <w:szCs w:val="14"/>
              </w:rPr>
            </w:pPr>
            <w:r>
              <w:rPr>
                <w:rFonts w:ascii="Arial" w:hAnsi="Arial" w:cs="Arial"/>
                <w:color w:val="000000"/>
                <w:sz w:val="14"/>
                <w:szCs w:val="14"/>
              </w:rPr>
              <w:t>35.50%</w:t>
            </w:r>
          </w:p>
        </w:tc>
      </w:tr>
    </w:tbl>
    <w:p w:rsidR="006A5F13" w:rsidRDefault="006A5F13" w:rsidP="006A5F13">
      <w:pPr>
        <w:spacing w:before="120" w:after="120" w:line="240" w:lineRule="exact"/>
        <w:jc w:val="both"/>
        <w:rPr>
          <w:rFonts w:ascii="Arial" w:eastAsia="Calibri" w:hAnsi="Arial" w:cs="Arial"/>
          <w:b/>
          <w:spacing w:val="-1"/>
          <w:sz w:val="17"/>
          <w:szCs w:val="17"/>
        </w:rPr>
      </w:pPr>
    </w:p>
    <w:p w:rsidR="006A5F13" w:rsidRDefault="006A5F13" w:rsidP="006A5F13">
      <w:pPr>
        <w:autoSpaceDE w:val="0"/>
        <w:autoSpaceDN w:val="0"/>
        <w:adjustRightInd w:val="0"/>
        <w:jc w:val="both"/>
        <w:rPr>
          <w:rFonts w:ascii="Arial" w:hAnsi="Arial" w:cs="Arial"/>
          <w:sz w:val="17"/>
          <w:szCs w:val="17"/>
          <w:lang w:val="es-ES"/>
        </w:rPr>
      </w:pPr>
    </w:p>
    <w:p w:rsidR="006A5F13" w:rsidRDefault="006A5F13" w:rsidP="006A5F13">
      <w:pPr>
        <w:pStyle w:val="Prrafodelista"/>
        <w:numPr>
          <w:ilvl w:val="0"/>
          <w:numId w:val="18"/>
        </w:numPr>
        <w:autoSpaceDE w:val="0"/>
        <w:autoSpaceDN w:val="0"/>
        <w:adjustRightInd w:val="0"/>
        <w:ind w:left="357" w:right="-851" w:hanging="357"/>
        <w:jc w:val="both"/>
        <w:rPr>
          <w:rFonts w:ascii="Arial" w:hAnsi="Arial" w:cs="Arial"/>
          <w:sz w:val="17"/>
          <w:szCs w:val="17"/>
        </w:rPr>
      </w:pPr>
      <w:r>
        <w:rPr>
          <w:rFonts w:ascii="Arial" w:hAnsi="Arial" w:cs="Arial"/>
          <w:sz w:val="17"/>
          <w:szCs w:val="17"/>
        </w:rPr>
        <w:t>La reducción del saldo de su deuda pública bruta total con motivo de cada una de las amortizaciones a que se refiere este artículo, con relación al registrado al 31 de diciembre del ejercicio fiscal anterior.</w:t>
      </w:r>
    </w:p>
    <w:p w:rsidR="006A5F13" w:rsidRDefault="006A5F13" w:rsidP="006A5F13">
      <w:pPr>
        <w:autoSpaceDE w:val="0"/>
        <w:autoSpaceDN w:val="0"/>
        <w:adjustRightInd w:val="0"/>
        <w:rPr>
          <w:rFonts w:ascii="Arial" w:hAnsi="Arial" w:cs="Arial"/>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tblGrid>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tcPr>
          <w:p w:rsidR="006A5F13" w:rsidRDefault="006A5F13">
            <w:pPr>
              <w:autoSpaceDE w:val="0"/>
              <w:autoSpaceDN w:val="0"/>
              <w:adjustRightInd w:val="0"/>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center"/>
              <w:rPr>
                <w:rFonts w:ascii="Arial" w:hAnsi="Arial" w:cs="Arial"/>
                <w:sz w:val="18"/>
                <w:szCs w:val="18"/>
                <w:lang w:val="es-ES"/>
              </w:rPr>
            </w:pPr>
            <w:r>
              <w:rPr>
                <w:rFonts w:ascii="Arial" w:hAnsi="Arial" w:cs="Arial"/>
                <w:sz w:val="18"/>
                <w:szCs w:val="18"/>
                <w:lang w:val="es-ES"/>
              </w:rPr>
              <w:t>Importe</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al 31 de diciembre del 2016</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1’049,295,003</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1</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3’718,810</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1</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1’045,576,193</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2</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3’770,873</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2</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1’041,805,320</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3</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3’823,666</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3</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1’037,981,654</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4</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3’877,197</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4</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1’034,104,457</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5</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3’931,478</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5</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1’030,172,979</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6</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3’986,518</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6</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1’026,186,461</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7</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4’042,330</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lastRenderedPageBreak/>
              <w:t>Deuda Pública Bruta Total descontando la amortización 7</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1’022,144,131</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8</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4’098,922</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8</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1’018,045,209</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9</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4’156,307</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9</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1’013,888,902</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10</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4’214,495</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10</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1’009,674,407</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11</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4’273,498</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11</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1’005,400,909</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(-)Amortización 12</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4’333,327</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(-)Prepago a Capital</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300’000,000</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Deuda Pública Bruta Total descontando la amortización 12</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701,067,582</w:t>
            </w:r>
          </w:p>
        </w:tc>
      </w:tr>
    </w:tbl>
    <w:p w:rsidR="006A5F13" w:rsidRDefault="006A5F13" w:rsidP="006A5F13">
      <w:pPr>
        <w:autoSpaceDE w:val="0"/>
        <w:autoSpaceDN w:val="0"/>
        <w:adjustRightInd w:val="0"/>
        <w:rPr>
          <w:rFonts w:ascii="Arial" w:hAnsi="Arial" w:cs="Arial"/>
          <w:sz w:val="17"/>
          <w:szCs w:val="17"/>
        </w:rPr>
      </w:pPr>
    </w:p>
    <w:p w:rsidR="006A5F13" w:rsidRDefault="006A5F13" w:rsidP="006A5F13">
      <w:pPr>
        <w:pStyle w:val="Prrafodelista"/>
        <w:autoSpaceDE w:val="0"/>
        <w:autoSpaceDN w:val="0"/>
        <w:adjustRightInd w:val="0"/>
        <w:ind w:left="357" w:right="-851"/>
        <w:jc w:val="both"/>
        <w:rPr>
          <w:rFonts w:ascii="Arial" w:hAnsi="Arial" w:cs="Arial"/>
          <w:sz w:val="17"/>
          <w:szCs w:val="17"/>
        </w:rPr>
      </w:pPr>
    </w:p>
    <w:p w:rsidR="006A5F13" w:rsidRDefault="006A5F13" w:rsidP="006A5F13">
      <w:pPr>
        <w:pStyle w:val="Prrafodelista"/>
        <w:numPr>
          <w:ilvl w:val="0"/>
          <w:numId w:val="18"/>
        </w:numPr>
        <w:autoSpaceDE w:val="0"/>
        <w:autoSpaceDN w:val="0"/>
        <w:adjustRightInd w:val="0"/>
        <w:ind w:left="357" w:right="-851" w:hanging="357"/>
        <w:jc w:val="both"/>
        <w:rPr>
          <w:rFonts w:ascii="Arial" w:hAnsi="Arial" w:cs="Arial"/>
          <w:sz w:val="17"/>
          <w:szCs w:val="17"/>
        </w:rPr>
      </w:pPr>
      <w:r>
        <w:rPr>
          <w:rFonts w:ascii="Arial" w:hAnsi="Arial" w:cs="Arial"/>
          <w:sz w:val="17"/>
          <w:szCs w:val="17"/>
        </w:rPr>
        <w:t>Un comparativo de la relación deuda pública bruta total a producto interno bruto del estado entre el 31 de diciembre del ejercicio fiscal anterior y la fecha de la amortización.</w:t>
      </w:r>
    </w:p>
    <w:p w:rsidR="006A5F13" w:rsidRDefault="006A5F13" w:rsidP="006A5F13">
      <w:pPr>
        <w:pStyle w:val="Prrafodelista"/>
        <w:autoSpaceDE w:val="0"/>
        <w:autoSpaceDN w:val="0"/>
        <w:adjustRightInd w:val="0"/>
        <w:ind w:left="357" w:right="-851"/>
        <w:jc w:val="both"/>
        <w:rPr>
          <w:rFonts w:ascii="Arial" w:hAnsi="Arial" w:cs="Arial"/>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701"/>
      </w:tblGrid>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tcPr>
          <w:p w:rsidR="006A5F13" w:rsidRDefault="006A5F13">
            <w:pPr>
              <w:autoSpaceDE w:val="0"/>
              <w:autoSpaceDN w:val="0"/>
              <w:adjustRightInd w:val="0"/>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5F13" w:rsidRDefault="006A5F13">
            <w:pPr>
              <w:autoSpaceDE w:val="0"/>
              <w:autoSpaceDN w:val="0"/>
              <w:adjustRightInd w:val="0"/>
              <w:jc w:val="center"/>
              <w:rPr>
                <w:rFonts w:ascii="Arial" w:hAnsi="Arial" w:cs="Arial"/>
                <w:sz w:val="18"/>
                <w:szCs w:val="18"/>
                <w:lang w:val="es-ES"/>
              </w:rPr>
            </w:pPr>
          </w:p>
          <w:p w:rsidR="006A5F13" w:rsidRDefault="006A5F13">
            <w:pPr>
              <w:autoSpaceDE w:val="0"/>
              <w:autoSpaceDN w:val="0"/>
              <w:adjustRightInd w:val="0"/>
              <w:jc w:val="center"/>
              <w:rPr>
                <w:rFonts w:ascii="Arial" w:hAnsi="Arial" w:cs="Arial"/>
                <w:sz w:val="18"/>
                <w:szCs w:val="18"/>
                <w:lang w:val="es-ES"/>
              </w:rPr>
            </w:pPr>
            <w:r>
              <w:rPr>
                <w:rFonts w:ascii="Arial" w:hAnsi="Arial" w:cs="Arial"/>
                <w:sz w:val="18"/>
                <w:szCs w:val="18"/>
                <w:lang w:val="es-ES"/>
              </w:rPr>
              <w:t>Al 31 de dic del año 2016</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center"/>
              <w:rPr>
                <w:rFonts w:ascii="Arial" w:hAnsi="Arial" w:cs="Arial"/>
                <w:sz w:val="18"/>
                <w:szCs w:val="18"/>
                <w:lang w:val="es-ES"/>
              </w:rPr>
            </w:pPr>
            <w:r>
              <w:rPr>
                <w:rFonts w:ascii="Arial" w:hAnsi="Arial" w:cs="Arial"/>
                <w:sz w:val="18"/>
                <w:szCs w:val="18"/>
                <w:lang w:val="es-ES"/>
              </w:rPr>
              <w:t>Trimestre que se informa al 4to trimestre de 2017</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rPr>
                <w:rFonts w:ascii="Arial" w:hAnsi="Arial" w:cs="Arial"/>
                <w:sz w:val="18"/>
                <w:szCs w:val="18"/>
              </w:rPr>
            </w:pPr>
            <w:r>
              <w:rPr>
                <w:rFonts w:ascii="Arial" w:hAnsi="Arial" w:cs="Arial"/>
                <w:sz w:val="18"/>
                <w:szCs w:val="18"/>
                <w:lang w:val="es-ES"/>
              </w:rPr>
              <w:t>Producto interno bruto estatal</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center"/>
              <w:rPr>
                <w:rFonts w:ascii="Arial" w:hAnsi="Arial" w:cs="Arial"/>
                <w:sz w:val="18"/>
                <w:szCs w:val="18"/>
                <w:lang w:val="es-ES"/>
              </w:rPr>
            </w:pPr>
            <w:r>
              <w:rPr>
                <w:rFonts w:ascii="Arial" w:hAnsi="Arial" w:cs="Arial"/>
                <w:sz w:val="18"/>
                <w:szCs w:val="18"/>
                <w:lang w:val="es-ES"/>
              </w:rPr>
              <w:t>405,448,000,000</w:t>
            </w:r>
          </w:p>
          <w:p w:rsidR="006A5F13" w:rsidRDefault="006A5F13">
            <w:pPr>
              <w:autoSpaceDE w:val="0"/>
              <w:autoSpaceDN w:val="0"/>
              <w:adjustRightInd w:val="0"/>
              <w:jc w:val="center"/>
              <w:rPr>
                <w:rFonts w:ascii="Arial" w:hAnsi="Arial" w:cs="Arial"/>
                <w:sz w:val="18"/>
                <w:szCs w:val="18"/>
                <w:lang w:val="es-ES"/>
              </w:rPr>
            </w:pPr>
            <w:r>
              <w:rPr>
                <w:rFonts w:ascii="Arial" w:hAnsi="Arial" w:cs="Arial"/>
                <w:sz w:val="18"/>
                <w:szCs w:val="18"/>
                <w:lang w:val="es-ES"/>
              </w:rPr>
              <w:t>(estimado)</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center"/>
              <w:rPr>
                <w:rFonts w:ascii="Arial" w:hAnsi="Arial" w:cs="Arial"/>
                <w:sz w:val="18"/>
                <w:szCs w:val="18"/>
                <w:lang w:val="es-ES"/>
              </w:rPr>
            </w:pPr>
            <w:r>
              <w:rPr>
                <w:rFonts w:ascii="Arial" w:hAnsi="Arial" w:cs="Arial"/>
                <w:sz w:val="18"/>
                <w:szCs w:val="18"/>
                <w:lang w:val="es-ES"/>
              </w:rPr>
              <w:t>405,448,000,000</w:t>
            </w:r>
          </w:p>
          <w:p w:rsidR="006A5F13" w:rsidRDefault="006A5F13">
            <w:pPr>
              <w:autoSpaceDE w:val="0"/>
              <w:autoSpaceDN w:val="0"/>
              <w:adjustRightInd w:val="0"/>
              <w:jc w:val="center"/>
              <w:rPr>
                <w:rFonts w:ascii="Arial" w:hAnsi="Arial" w:cs="Arial"/>
                <w:sz w:val="18"/>
                <w:szCs w:val="18"/>
                <w:lang w:val="es-ES"/>
              </w:rPr>
            </w:pPr>
            <w:r>
              <w:rPr>
                <w:rFonts w:ascii="Arial" w:hAnsi="Arial" w:cs="Arial"/>
                <w:sz w:val="18"/>
                <w:szCs w:val="18"/>
                <w:lang w:val="es-ES"/>
              </w:rPr>
              <w:t xml:space="preserve"> (estimado)</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Saldo de la deuda pública </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1’049,295,003</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701,067,582</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Porcentaje</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.259%</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.173%</w:t>
            </w:r>
          </w:p>
        </w:tc>
      </w:tr>
    </w:tbl>
    <w:p w:rsidR="006A5F13" w:rsidRDefault="006A5F13" w:rsidP="006A5F13">
      <w:pPr>
        <w:autoSpaceDE w:val="0"/>
        <w:autoSpaceDN w:val="0"/>
        <w:adjustRightInd w:val="0"/>
        <w:jc w:val="both"/>
        <w:rPr>
          <w:rFonts w:ascii="Arial" w:hAnsi="Arial" w:cs="Arial"/>
          <w:sz w:val="17"/>
          <w:szCs w:val="17"/>
        </w:rPr>
      </w:pPr>
    </w:p>
    <w:p w:rsidR="006A5F13" w:rsidRDefault="006A5F13" w:rsidP="006A5F13">
      <w:pPr>
        <w:pStyle w:val="Prrafodelista"/>
        <w:autoSpaceDE w:val="0"/>
        <w:autoSpaceDN w:val="0"/>
        <w:adjustRightInd w:val="0"/>
        <w:ind w:left="357" w:right="-851"/>
        <w:jc w:val="both"/>
        <w:rPr>
          <w:rFonts w:ascii="Arial" w:hAnsi="Arial" w:cs="Arial"/>
          <w:sz w:val="17"/>
          <w:szCs w:val="17"/>
          <w:lang w:val="es-ES"/>
        </w:rPr>
      </w:pPr>
    </w:p>
    <w:p w:rsidR="006A5F13" w:rsidRDefault="006A5F13" w:rsidP="006A5F13">
      <w:pPr>
        <w:pStyle w:val="Prrafodelista"/>
        <w:autoSpaceDE w:val="0"/>
        <w:autoSpaceDN w:val="0"/>
        <w:adjustRightInd w:val="0"/>
        <w:ind w:left="357" w:right="-851"/>
        <w:jc w:val="both"/>
        <w:rPr>
          <w:rFonts w:ascii="Arial" w:hAnsi="Arial" w:cs="Arial"/>
          <w:sz w:val="17"/>
          <w:szCs w:val="17"/>
          <w:lang w:val="es-ES"/>
        </w:rPr>
      </w:pPr>
    </w:p>
    <w:p w:rsidR="006A5F13" w:rsidRDefault="006A5F13" w:rsidP="006A5F13">
      <w:pPr>
        <w:pStyle w:val="Prrafodelista"/>
        <w:numPr>
          <w:ilvl w:val="0"/>
          <w:numId w:val="18"/>
        </w:numPr>
        <w:autoSpaceDE w:val="0"/>
        <w:autoSpaceDN w:val="0"/>
        <w:adjustRightInd w:val="0"/>
        <w:ind w:left="357" w:right="-851" w:hanging="357"/>
        <w:jc w:val="both"/>
        <w:rPr>
          <w:rFonts w:ascii="Arial" w:hAnsi="Arial" w:cs="Arial"/>
          <w:sz w:val="17"/>
          <w:szCs w:val="17"/>
          <w:lang w:val="es-ES"/>
        </w:rPr>
      </w:pPr>
      <w:r>
        <w:rPr>
          <w:rFonts w:ascii="Arial" w:hAnsi="Arial" w:cs="Arial"/>
          <w:sz w:val="17"/>
          <w:szCs w:val="17"/>
        </w:rPr>
        <w:t>Un comparativo de la relación deuda pública bruta total a ingresos propios del estado o municipio, según corresponda, entre el 31 de diciembre del ejercicio fiscal anterior y la fecha de la amortización.</w:t>
      </w:r>
    </w:p>
    <w:p w:rsidR="006A5F13" w:rsidRDefault="006A5F13" w:rsidP="006A5F13">
      <w:pPr>
        <w:autoSpaceDE w:val="0"/>
        <w:autoSpaceDN w:val="0"/>
        <w:adjustRightInd w:val="0"/>
        <w:jc w:val="both"/>
        <w:rPr>
          <w:rFonts w:ascii="Arial" w:hAnsi="Arial" w:cs="Arial"/>
          <w:sz w:val="17"/>
          <w:szCs w:val="17"/>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701"/>
      </w:tblGrid>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tcPr>
          <w:p w:rsidR="006A5F13" w:rsidRDefault="006A5F13">
            <w:pPr>
              <w:autoSpaceDE w:val="0"/>
              <w:autoSpaceDN w:val="0"/>
              <w:adjustRightInd w:val="0"/>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5F13" w:rsidRDefault="006A5F13">
            <w:pPr>
              <w:autoSpaceDE w:val="0"/>
              <w:autoSpaceDN w:val="0"/>
              <w:adjustRightInd w:val="0"/>
              <w:jc w:val="center"/>
              <w:rPr>
                <w:rFonts w:ascii="Arial" w:hAnsi="Arial" w:cs="Arial"/>
                <w:sz w:val="18"/>
                <w:szCs w:val="18"/>
                <w:lang w:val="es-ES"/>
              </w:rPr>
            </w:pPr>
          </w:p>
          <w:p w:rsidR="006A5F13" w:rsidRDefault="006A5F13">
            <w:pPr>
              <w:autoSpaceDE w:val="0"/>
              <w:autoSpaceDN w:val="0"/>
              <w:adjustRightInd w:val="0"/>
              <w:jc w:val="center"/>
              <w:rPr>
                <w:rFonts w:ascii="Arial" w:hAnsi="Arial" w:cs="Arial"/>
                <w:sz w:val="18"/>
                <w:szCs w:val="18"/>
                <w:lang w:val="es-ES"/>
              </w:rPr>
            </w:pPr>
            <w:r>
              <w:rPr>
                <w:rFonts w:ascii="Arial" w:hAnsi="Arial" w:cs="Arial"/>
                <w:sz w:val="18"/>
                <w:szCs w:val="18"/>
                <w:lang w:val="es-ES"/>
              </w:rPr>
              <w:t>Al 31 de dic del año 2016</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center"/>
              <w:rPr>
                <w:rFonts w:ascii="Arial" w:hAnsi="Arial" w:cs="Arial"/>
                <w:sz w:val="18"/>
                <w:szCs w:val="18"/>
                <w:lang w:val="es-ES"/>
              </w:rPr>
            </w:pPr>
            <w:r>
              <w:rPr>
                <w:rFonts w:ascii="Arial" w:hAnsi="Arial" w:cs="Arial"/>
                <w:sz w:val="18"/>
                <w:szCs w:val="18"/>
                <w:lang w:val="es-ES"/>
              </w:rPr>
              <w:t>Trimestre que se informa al 4to trimestre de 2017</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rPr>
                <w:rFonts w:ascii="Arial" w:hAnsi="Arial" w:cs="Arial"/>
                <w:sz w:val="18"/>
                <w:szCs w:val="18"/>
              </w:rPr>
            </w:pPr>
            <w:r>
              <w:rPr>
                <w:rFonts w:ascii="Arial" w:hAnsi="Arial" w:cs="Arial"/>
                <w:sz w:val="18"/>
                <w:szCs w:val="18"/>
              </w:rPr>
              <w:t>Ingresos Propios</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center"/>
              <w:rPr>
                <w:rFonts w:ascii="Arial" w:hAnsi="Arial" w:cs="Arial"/>
                <w:sz w:val="18"/>
                <w:szCs w:val="18"/>
                <w:lang w:val="es-ES"/>
              </w:rPr>
            </w:pPr>
            <w:r>
              <w:rPr>
                <w:rFonts w:ascii="Arial" w:hAnsi="Arial" w:cs="Arial"/>
                <w:sz w:val="18"/>
                <w:szCs w:val="18"/>
                <w:lang w:val="es-ES"/>
              </w:rPr>
              <w:t>4’967,892,107</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center"/>
              <w:rPr>
                <w:rFonts w:ascii="Arial" w:hAnsi="Arial" w:cs="Arial"/>
                <w:sz w:val="18"/>
                <w:szCs w:val="18"/>
                <w:highlight w:val="yellow"/>
                <w:lang w:val="es-ES"/>
              </w:rPr>
            </w:pPr>
            <w:r>
              <w:rPr>
                <w:rFonts w:ascii="Arial" w:hAnsi="Arial" w:cs="Arial"/>
                <w:sz w:val="18"/>
                <w:szCs w:val="18"/>
                <w:lang w:val="es-ES"/>
              </w:rPr>
              <w:t>5’750,793.067</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Saldo de la Deuda Pública</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1’049,295,003</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701,067,582</w:t>
            </w:r>
          </w:p>
        </w:tc>
      </w:tr>
      <w:tr w:rsidR="006A5F13" w:rsidTr="006A5F13">
        <w:trPr>
          <w:jc w:val="center"/>
        </w:trPr>
        <w:tc>
          <w:tcPr>
            <w:tcW w:w="4503"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Porcentaje</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21.121%</w:t>
            </w:r>
          </w:p>
        </w:tc>
        <w:tc>
          <w:tcPr>
            <w:tcW w:w="1701" w:type="dxa"/>
            <w:tcBorders>
              <w:top w:val="single" w:sz="4" w:space="0" w:color="auto"/>
              <w:left w:val="single" w:sz="4" w:space="0" w:color="auto"/>
              <w:bottom w:val="single" w:sz="4" w:space="0" w:color="auto"/>
              <w:right w:val="single" w:sz="4" w:space="0" w:color="auto"/>
            </w:tcBorders>
            <w:hideMark/>
          </w:tcPr>
          <w:p w:rsidR="006A5F13" w:rsidRDefault="006A5F13">
            <w:pPr>
              <w:autoSpaceDE w:val="0"/>
              <w:autoSpaceDN w:val="0"/>
              <w:adjustRightInd w:val="0"/>
              <w:jc w:val="both"/>
              <w:rPr>
                <w:rFonts w:ascii="Arial" w:hAnsi="Arial" w:cs="Arial"/>
                <w:sz w:val="18"/>
                <w:szCs w:val="18"/>
                <w:lang w:val="es-ES"/>
              </w:rPr>
            </w:pPr>
            <w:r>
              <w:rPr>
                <w:rFonts w:ascii="Arial" w:hAnsi="Arial" w:cs="Arial"/>
                <w:sz w:val="18"/>
                <w:szCs w:val="18"/>
                <w:lang w:val="es-ES"/>
              </w:rPr>
              <w:t xml:space="preserve">              12.19%  </w:t>
            </w:r>
          </w:p>
        </w:tc>
      </w:tr>
    </w:tbl>
    <w:p w:rsidR="006A5F13" w:rsidRDefault="006A5F13" w:rsidP="006A5F13">
      <w:pPr>
        <w:autoSpaceDE w:val="0"/>
        <w:autoSpaceDN w:val="0"/>
        <w:adjustRightInd w:val="0"/>
        <w:jc w:val="both"/>
        <w:rPr>
          <w:rFonts w:ascii="Arial" w:hAnsi="Arial" w:cs="Arial"/>
          <w:sz w:val="17"/>
          <w:szCs w:val="17"/>
          <w:lang w:val="es-ES"/>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lastRenderedPageBreak/>
        <w:t>Calificaciones otorgadas</w:t>
      </w:r>
    </w:p>
    <w:p w:rsidR="006A5F13" w:rsidRDefault="006A5F13" w:rsidP="006A5F13">
      <w:pPr>
        <w:spacing w:before="120" w:after="120" w:line="240" w:lineRule="exact"/>
        <w:ind w:left="360"/>
        <w:jc w:val="both"/>
        <w:rPr>
          <w:rFonts w:ascii="Arial" w:eastAsia="Calibri" w:hAnsi="Arial" w:cs="Arial"/>
          <w:b/>
          <w:spacing w:val="-1"/>
          <w:sz w:val="17"/>
          <w:szCs w:val="17"/>
        </w:rPr>
      </w:pPr>
    </w:p>
    <w:p w:rsidR="006A5F13" w:rsidRDefault="006A5F13" w:rsidP="006A5F13">
      <w:pPr>
        <w:pStyle w:val="Prrafodelista"/>
        <w:numPr>
          <w:ilvl w:val="0"/>
          <w:numId w:val="19"/>
        </w:numPr>
        <w:spacing w:before="120" w:after="120" w:line="240" w:lineRule="exact"/>
        <w:jc w:val="both"/>
        <w:rPr>
          <w:rFonts w:ascii="Arial" w:eastAsia="Calibri" w:hAnsi="Arial" w:cs="Arial"/>
          <w:b/>
          <w:spacing w:val="-1"/>
          <w:sz w:val="17"/>
          <w:szCs w:val="17"/>
          <w:u w:val="single"/>
        </w:rPr>
      </w:pPr>
      <w:r>
        <w:rPr>
          <w:rFonts w:ascii="Arial" w:eastAsia="Calibri" w:hAnsi="Arial" w:cs="Arial"/>
          <w:b/>
          <w:spacing w:val="-1"/>
          <w:sz w:val="17"/>
          <w:szCs w:val="17"/>
          <w:u w:val="single"/>
        </w:rPr>
        <w:t>Opinión Crediticia emitida por Moody’s Investors Service:</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Resumen de los Fundamentos de la Calificación</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Las calificaciones de emisor del estado de Querétaro de Aa1.mx (Escala Nacional de México) y Baa1 (Escala Global, Moneda Local) reflejan resultados financieros balanceados que han generado financiamiento interno para sus proyectos de capital. Entre 2011 y 2015 los resultados financieros promediaron 1.19% del total de los ingresos y como resultado, la deuda ha tendido a reducirse. La deuda directa e indirecta neta fue equivalente a un bajo 4.1% de los ingresos totales a finales de 2015. La liquidez se ha mantenido positiva y durante el ejercicio 2015 se registró un capital de trabajo neto equivalente a un 13.1% de los gastos totales. Las calificaciones también toman en cuenta las debilidades crediticias derivadas del elevado pasivo por pensiones no fondeado, parcialmente contrarrestadas por una dinámica y creciente economía estatal que respalda niveles relativamente altos de ingresos propios.</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Comparación entre Emisores Nacionales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estado de Querétaro se encuentra calificado en el rango superior de los estados calificados en México, cuyas calificaciones van de Baa1 a Caa1. La posición de Querétaro en relación a sus pares nacionales refleja niveles de deuda por debajo de los de sus pares Baa, resultados fiscales básicamente en línea con los de sus pares y una positiva posición de liquidez. Estos factores son parcialmente compensados por un elevado pasivo por pensiones no fondeado.</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Fortalezas Crediticias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Economía dinámica que respalda una productiva base de ingresos propios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Fuertes prácticas de administración y gobierno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Sólido desempeño financiero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Bajos niveles de deuda y de servicio de la deuda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Sólida posición de liquidez</w:t>
      </w:r>
    </w:p>
    <w:p w:rsidR="006A5F13" w:rsidRDefault="006A5F13" w:rsidP="006A5F13">
      <w:pPr>
        <w:rPr>
          <w:rFonts w:ascii="Arial" w:eastAsia="Calibri" w:hAnsi="Arial" w:cs="Arial"/>
          <w:b/>
          <w:spacing w:val="-1"/>
          <w:sz w:val="17"/>
          <w:szCs w:val="17"/>
        </w:rPr>
      </w:pPr>
      <w:r>
        <w:rPr>
          <w:rFonts w:ascii="Arial" w:eastAsia="Calibri" w:hAnsi="Arial" w:cs="Arial"/>
          <w:b/>
          <w:spacing w:val="-1"/>
          <w:sz w:val="17"/>
          <w:szCs w:val="17"/>
        </w:rPr>
        <w:t>Retos Crediticios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Presiones de gasto de capital derivadas del crecimiento económico y poblacional</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Elevado pasivo por pensiones sin fondear</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Perspectiva de la Calificación</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perspectiva de las calificaciones del Estado de Querétaro es negativa, en línea con la perspectiva de la calificación de los bonos soberanos de México (A3, negativa).</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Acontecimientos Recientes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28 de abril, Moody’s afirmó las calificaciones de Baa1/Aa1.mx, perspectiva negativa, del Estado de Querétaro. Esta acción siguió a la acción de calificación del 27 de abril, en la que afirmó la calificación de A3, perspectiva negativa, de los bonos soberanos de México.</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Factores que Podrían Cambiar la Calificación al Alza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El fortalecimiento del fondo de reserva para el pago de pensiones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 Una mejora importante en el nivel de ingresos propios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El continuo registro de resultados financieros consolidados balanceados que permita fortalecer aún más la liquidez del Estado de Querétaro, manteniendo niveles relativamente bajos de deuda</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Factores que Podrían Cambiar la Calificación a la Baja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Una baja en la calificación de los bonos soberanos de México (A3, negativa)</w:t>
      </w:r>
    </w:p>
    <w:p w:rsidR="006A5F13" w:rsidRDefault="006A5F13" w:rsidP="006A5F13">
      <w:pPr>
        <w:tabs>
          <w:tab w:val="left" w:pos="11735"/>
        </w:tabs>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Un cambio en su política fiscal que ocasione incrementos en los niveles de deuda</w:t>
      </w:r>
      <w:r>
        <w:rPr>
          <w:rFonts w:ascii="Arial" w:eastAsia="Calibri" w:hAnsi="Arial" w:cs="Arial"/>
          <w:spacing w:val="-1"/>
          <w:sz w:val="17"/>
          <w:szCs w:val="17"/>
        </w:rPr>
        <w:tab/>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El deterioro de la liquidez.</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Detalle de los Fundamentos de la Calificación</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calificación asignada al Estado de Querétaro combina 1) la evaluación del riesgo crediticio base (BCA por sus siglas en inglés) del estado de baa1 y 2) la probabilidad de apoyo extraordinario proveniente del gobierno federal en caso que la entidad enfrente una aguda situación de estrés de liquidez.</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20"/>
        </w:numPr>
        <w:spacing w:before="120" w:after="120" w:line="240" w:lineRule="exact"/>
        <w:jc w:val="both"/>
        <w:rPr>
          <w:rFonts w:ascii="Arial" w:eastAsia="Calibri" w:hAnsi="Arial" w:cs="Arial"/>
          <w:b/>
          <w:spacing w:val="-1"/>
          <w:sz w:val="17"/>
          <w:szCs w:val="17"/>
          <w:u w:val="single"/>
        </w:rPr>
      </w:pPr>
      <w:r>
        <w:rPr>
          <w:rFonts w:ascii="Arial" w:eastAsia="Calibri" w:hAnsi="Arial" w:cs="Arial"/>
          <w:b/>
          <w:spacing w:val="-1"/>
          <w:sz w:val="17"/>
          <w:szCs w:val="17"/>
          <w:u w:val="single"/>
        </w:rPr>
        <w:t>Opinión Crediticia emitida por Standard &amp; Poor's:</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Resumen</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La economía relativamente más próspera, una fuerte liquidez y desempeño presupuestal, además de un bajo nivel de deuda sustentan la calidad crediticia del Estado de Querétaro.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  La reducida flexibilidad financiera del Estado y su marco institucional en evolución y desbalanceado limitan las calificaciones de Querétaro. </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Confirmamos nuestras calificaciones en escala global de ‘BBB’ y en escala nacional de ‘mxAA+’, respectivamente, del Estado de Querétaro. La perspectiva se mantiene estable.</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Acción de Calificación</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Ciudad de México, 4 de julio de 2017 – S&amp;P Global Ratings confirmó hoy sus calificaciones en escala global de ‘BBB’ y en escala nacional –CaVal– de ‘mxAA+’ del Estado de Querétaro, México. La perspectiva se mantiene estable.</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Perspectiva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perspectiva estable refleja nuestra expectativa de que Querétaro alcanzaría superávits operativos cercanos a 7% de sus ingresos operativos durante 2017-2018, lo cual debería respaldar un nivel más alto de gasto de inversión y un desempeño presupuestal equilibrado, así como un bajo nivel de deuda y una posición de liquidez fuerte. También esperaríamos que la economía del Estado continúe creciendo a pesar de la incertidumbre relacionada con la renegociación del Tratado de Libre Comercio de América del Norte (TLCAN) y que la administración financiera continúe implementando políticas prudentes y adecuadas.</w:t>
      </w:r>
    </w:p>
    <w:p w:rsidR="006A5F13" w:rsidRDefault="006A5F13" w:rsidP="006A5F13">
      <w:pPr>
        <w:spacing w:before="120" w:after="120" w:line="240" w:lineRule="exact"/>
        <w:jc w:val="both"/>
        <w:rPr>
          <w:rFonts w:ascii="Arial" w:eastAsia="Calibri" w:hAnsi="Arial" w:cs="Arial"/>
          <w:i/>
          <w:spacing w:val="-1"/>
          <w:sz w:val="17"/>
          <w:szCs w:val="17"/>
        </w:rPr>
      </w:pPr>
      <w:r>
        <w:rPr>
          <w:rFonts w:ascii="Arial" w:eastAsia="Calibri" w:hAnsi="Arial" w:cs="Arial"/>
          <w:i/>
          <w:spacing w:val="-1"/>
          <w:sz w:val="17"/>
          <w:szCs w:val="17"/>
        </w:rPr>
        <w:t>Escenario negativo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Podríamos bajar las calificaciones dentro de los siguientes 24 meses, si el Estado reporta de manera consistente déficits operativos, y déficits después de gasto de inversión significativamente mayores a 5% de sus ingresos totales, lo que podría deteriorar su posición de liquidez o incrementar su deuda considerablemente.</w:t>
      </w:r>
    </w:p>
    <w:p w:rsidR="006A5F13" w:rsidRDefault="006A5F13" w:rsidP="006A5F13">
      <w:pPr>
        <w:spacing w:before="120" w:after="120" w:line="240" w:lineRule="exact"/>
        <w:jc w:val="both"/>
        <w:rPr>
          <w:rFonts w:ascii="Arial" w:eastAsia="Calibri" w:hAnsi="Arial" w:cs="Arial"/>
          <w:i/>
          <w:spacing w:val="-1"/>
          <w:sz w:val="17"/>
          <w:szCs w:val="17"/>
        </w:rPr>
      </w:pPr>
      <w:r>
        <w:rPr>
          <w:rFonts w:ascii="Arial" w:eastAsia="Calibri" w:hAnsi="Arial" w:cs="Arial"/>
          <w:i/>
          <w:spacing w:val="-1"/>
          <w:sz w:val="17"/>
          <w:szCs w:val="17"/>
        </w:rPr>
        <w:t>Escenario positivo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Un alza de calificación es poco probable dentro de los próximos 24 meses debido a la reducida flexibilidad financiera del Estado, la cual se refleja en el bajo nivel de ingresos propios y los crecientes requerimientos de gasto para cubrir las necesidades de una población, que crece a un ritmo superior al del promedio nacional.</w:t>
      </w:r>
    </w:p>
    <w:p w:rsidR="006A5F13" w:rsidRDefault="006A5F13" w:rsidP="006A5F1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Fundamento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adecuada administración financiera del Estado y su economía relativamente más próspera respaldan su calidad crediticia.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calidad crediticia de Querétaro está respaldada por una administración financiera estable y adecuada, incluso ante cambios de administración. En nuestra opinión, la administración actual (2015-2021) ha mostrado su disposición para abordar cuestiones estructurales como la carga de pensiones mediante una reciente reforma. Por otro lado, consideramos que las políticas financieras se han vuelto más prudenciales con el objeto de fortalecer el denominado balance presupuestario de los recursos de libre disposición, lo cual le brinda un mayor margen presupuestal para afrontar eventos extraordinarios. La planeación financiera se basa en el plan de desarrollo del Estado (con un plazo de seis años) y, en nuestra opinión, los supuestos financieros son realistas y están bien documentados para los siguientes tres a cuatro años. Históricamente, el Estado ha utilizado la deuda para gasto de inversión o refinanciamiento, el gobierno es activo en tomar coberturas contra mayores tasas de interés. El alto nivel de reservas en efectivo discrecionales y la adecuada planeación presupuestal mensual se han traducido en la ausencia de deuda financiera de corto plazo y en un muy bajo nivel de pasivos circulantes. El gobierno de Querétaro cuenta con un representante en el consejo de administración de cada una de las entidades relacionadas con el gobierno (ERG), y con un departamento de supervisión dentro de la Secretaría de Finanzas, lo que aunado a su generalmente fuerte posición financiera deberían traducirse en una elevada probabilidad de apoyo extraordinario a sus ERGs.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Estimamos que el producto interno bruto (PIB) per cápita de Querétaro de 2016 se ubicó en US$11,175, posicionándose en el quinto lugar entre los estados mexicanos con un mayor nivel y continúa por encima del promedio nacional de US$9,630 para ese mismo año. Durante 2017-2019, sólidos flujos de inversión extranjera directa (IED) y la economía relativamente bien diversificada deberían sustentar el crecimiento del PIB. Además, una depreciación más lenta del peso mexicano también debería traducirse en un crecimiento del PIB per cápita en dólares nominales. Sin embargo, como la mayoría de los estados mexicanos, el PIB per cápita aún se ubica por debajo del de sus pares internacionales, como el de las comunidades autónomas españolas. La economía de Querétaro ha evolucionado hacia la manufactura, la cual representa alrededor de 70% del total. No obstante, ninguno de sus subcomponentes representa más de 20% de la economía, siendo la manufactura relacionada con el transporte (principalmente refacciones para automóviles y aeronaves) la de mayor importancia, seguida por las industrias de alimentos y bebidas, y productos químicos. La naturaleza de exportación (la cual representa 40% del PIB) podría hacer al Estado vulnerable a las negociaciones adversas del TLCAN (vea “Estados mexicanos expectantes ante la incertidumbre por renegociaciones del TLCAN”, publicado el 1 de mayo de 2017).</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Al igual que sus pares nacionales, el Estado de Querétaro opera bajo un marco institucional en evolución y desbalanceado. De acuerdo con nuestros criterios, los factores analíticos, como la previsibilidad del sistema, el balance general de ingresos y gastos, la transparencia, la rendición de cuentas y el respaldo del sistema, tienen margen para una mejora adicional, y actualmente estos representan una limitante, la cual, Querétaro comparte con los demás los estados mexicanos que calificamos. Una vez implementada en su totalidad, la reciente Ley de disciplina financiera (LDF) tiene el potencial de fomentar la transparencia de los gobiernos locales y regionales (GLRs) de México y, en un periodo más prolongado, fortalecer las prácticas financieras a largo plazo de los GLRs mexicanos.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Seguimos esperando un sólido desempeño presupuestal, que se traduciría en un bajo nivel de deuda y en una liquidez fuerte.</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Esperamos que Querétaro siga alcanzando superávits operativos en torno a $2,600 millones de pesos mexicanos (MXN) o 7% de sus ingresos operativos durante 2017-2019. Nuestro escenario base asume que se lograrán incrementos nominales en los ingresos propios a través de la eficiencia y del aumento de la base tributaria, respaldada por la expectativa de un crecimiento económico positivo durante los siguientes tres años. Los ingresos propios deberían promediar 16% de los ingresos operativos durante 2017-2019. Los servicios de personal crecerían dentro de los límites establecidos por la LDF (menor tasa entre el crecimiento del PIB real o un crecimiento de 3% en términos reales) y una supervisión estricta sobre las asignaciones presupuestales y del desempeño de las ERGs también debería limitar el crecimiento de las transferencias. Por otra parte, esperaríamos que los bienes y servicios sigan creciendo a medida que el Estado aumenta y mejora los servicios que presta a una población que crece rápidamente. </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Esperamos que Querétaro acelere su fase de gasto de inversión durante 2017-2019 hacia MXN3,500 millones en promedio (9% de los gastos totales) comparado con MXN1,000 millones en promedio durante 2014-2016. Los principales proyectos de gasto de inversión del Estado están relacionados con mejoras a las calles y carreteras, transporte público, y para la infraestructura de salud y seguridad.</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En línea con los planes del gobierno, nuestro escenario base no considera nueva deuda. A marzo de 2017, la deuda de Querétaro se ubicó en MXN1,038 millones. Esta consistía en un crédito a largo plazo garantizado por 12% de las transferencias de Participaciones Federales que recibe Querétaro de parte del gobierno federal. El perfil de largo plazo de la deuda mantendrá los costos del servicio de deuda del Estado por debajo de 1% de sus ingresos operativos. </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La reciente reforma al sistema de pensiones del Estado, con la que se aumentó la edad para el retiro y se cambió la base para el monto de pensión, mantendrá la carga de estas por debajo de 2% de los ingresos operativos durante 2017-2019. Sin embargo, el sistema no cuenta con recursos suficientes y no hay aportaciones de los empleados ni del empleador. De acuerdo con el último reporte actuarial, el déficit actuarial representó más de 100% de los ingresos operativos. </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pasivos contingentes de Querétaro son limitados. El Estado cuenta con 33 ERGs que, en su conjunto, presentan un desempeño presupuestal balanceado y una posición de activos neta. Dado el tamaño del presupuesto conjunto, cualquier respaldo extraordinario de parte del Estado se ubicaría por debajo de 10% de sus ingresos operativos. Querétaro también cuenta con una línea de crédito revolvente por MXN72 millones para garantizar los pagos de una asociación público-privada de la Comisión Estatal de Aguas de Querétaro (CEAQ, mxA/Estable/--). La línea de crédito nunca ha sido utilizada.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Esperamos que la liquidez de Querétaro supere las necesidades del servicio de deuda durante 2017-2019. Esperaríamos que el flujo de efectivo promedio estatal en 2016 más el flujo de efectivo de la operación sea equivalente a 35 veces (x) su servicio de deuda proyectado para 2017. Además, en los últimos años, el efectivo total de Querétaro se ha ubicado en al menos 3x las cuentas por pagar. Debido a la ausencia de nuevos planes de deuda, el nivel más alto de gasto de inversión esperado para 2017-2019 será financiado con liquidez interna, que en nuestra opinión, se traduce en elevadas necesidades de fondeo.</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También consideramos que el acceso del Estado a la liquidez externa es satisfactorio, dado el fuerte y diversificado grupo de bancos locales que se refleja en nuestra clasificación para México de '4' de acuerdo con nuestro Análisis de Riesgos de la Industria Bancaria por País (BICRA, por sus siglas en inglés).</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Proceso de Mejora</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Durante el presente ejercicio fiscal, se han atendido diversas observaciones y recomendaciones emitidas por parte de entidades fiscalizadoras, lo que ha dado como resultado, una mejora en los procesos de control interno, alguna de ellas se han plasmado en diversos instrumentos administrativos, como en Manuales de Procedimientos, y en el Manual de Contabilidad Gubernamental del Poder Ejecutivo del Estado de Querétaro, con el fin de alcanzar un mejor desempeño y trasparencia en las actividades gubernamentales.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revisará y se depurará la cuenta de Otros Activos no Circulantes.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Adicionalmente se está llevando a cabo una revisión profunda a la base de datos a efecto de analizar y determinar áreas de oportunidad y mejoras.</w:t>
      </w:r>
    </w:p>
    <w:p w:rsidR="006A5F13" w:rsidRDefault="006A5F13" w:rsidP="006A5F13">
      <w:pPr>
        <w:spacing w:before="120" w:after="120" w:line="240" w:lineRule="exact"/>
        <w:jc w:val="both"/>
        <w:rPr>
          <w:rFonts w:ascii="Arial" w:eastAsia="Calibri" w:hAnsi="Arial" w:cs="Arial"/>
          <w:b/>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Información por Segmentos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el presente periodo contable que se reporta, no existe información referente a segmentos por revelar.</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lastRenderedPageBreak/>
        <w:t>Eventos Posteriores al Cierre</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presente Cuenta Pública que se reporta, presenta saldos contables y presupuestarios al 31 de diciembre del 2017.</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Por otro lado, la presión que se ejerce por parte de América del Norte con la renegociación o posible modificación al Tratado de Libre Comercio con América Latina representa una alerta en el tema fiscal y financiero para el país, que indudablemente afectaría al Estado de Querétaro en la recepción de recurso federal.</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Aunado a lo anterior, es preciso mencionar que el Poder Ejecutivo del Estado de Querétaro seguirá observando y cumpliendo a cabalidad la Ley de Disciplina Financiera de las Entidades Federativas y Municipios.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Para el ejercicio 2018, el Poder Ejecutivo del Estado de Querétaro pretende llevar a cabo el reconocimiento de la Participación que tenga en las entidades paraestatales, toda vez que a la fecha de este documento se continúa documentando y realizando el análisis correspondiente. </w:t>
      </w:r>
    </w:p>
    <w:p w:rsidR="006A5F13" w:rsidRDefault="006A5F13" w:rsidP="006A5F13">
      <w:pPr>
        <w:spacing w:before="120" w:after="120" w:line="240" w:lineRule="exact"/>
        <w:jc w:val="both"/>
        <w:rPr>
          <w:rFonts w:ascii="Arial" w:eastAsia="Calibri" w:hAnsi="Arial" w:cs="Arial"/>
          <w:spacing w:val="-1"/>
          <w:sz w:val="17"/>
          <w:szCs w:val="17"/>
        </w:rPr>
      </w:pPr>
    </w:p>
    <w:p w:rsidR="006A5F13" w:rsidRDefault="006A5F13" w:rsidP="006A5F13">
      <w:pPr>
        <w:pStyle w:val="Prrafodelista"/>
        <w:numPr>
          <w:ilvl w:val="0"/>
          <w:numId w:val="17"/>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Partes Relacionadas</w:t>
      </w:r>
    </w:p>
    <w:p w:rsidR="006A5F13" w:rsidRDefault="006A5F13" w:rsidP="006A5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el presente Informe al 31 de diciembre del 2017, no existen partes relacionadas que pudieran ejercer influencia significativa sobre la toma de decisiones financieras y operativas.</w:t>
      </w:r>
    </w:p>
    <w:p w:rsidR="00B313EE" w:rsidRPr="00DA3F3D" w:rsidRDefault="00B313EE" w:rsidP="006A5F13">
      <w:pPr>
        <w:autoSpaceDE w:val="0"/>
        <w:autoSpaceDN w:val="0"/>
        <w:adjustRightInd w:val="0"/>
        <w:spacing w:before="240" w:after="120"/>
        <w:rPr>
          <w:rFonts w:ascii="Arial" w:eastAsia="Calibri" w:hAnsi="Arial" w:cs="Arial"/>
          <w:spacing w:val="-1"/>
          <w:sz w:val="17"/>
          <w:szCs w:val="17"/>
        </w:rPr>
      </w:pPr>
    </w:p>
    <w:sectPr w:rsidR="00B313EE" w:rsidRPr="00DA3F3D" w:rsidSect="00776AEC">
      <w:headerReference w:type="even" r:id="rId14"/>
      <w:headerReference w:type="default" r:id="rId15"/>
      <w:footerReference w:type="even" r:id="rId16"/>
      <w:footerReference w:type="default" r:id="rId17"/>
      <w:type w:val="continuous"/>
      <w:pgSz w:w="15840" w:h="12240" w:orient="landscape" w:code="1"/>
      <w:pgMar w:top="1418"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1F" w:rsidRDefault="0080161F">
      <w:r>
        <w:separator/>
      </w:r>
    </w:p>
  </w:endnote>
  <w:endnote w:type="continuationSeparator" w:id="0">
    <w:p w:rsidR="0080161F" w:rsidRDefault="0080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4" w:rsidRPr="00CF00D0" w:rsidRDefault="009915A4"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DE2397">
      <w:rPr>
        <w:rFonts w:ascii="Avenir LT Std 45 Book" w:hAnsi="Avenir LT Std 45 Book" w:cs="Arial"/>
        <w:noProof/>
        <w:color w:val="808080"/>
        <w:szCs w:val="20"/>
      </w:rPr>
      <w:t>20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DE2397">
      <w:rPr>
        <w:rFonts w:ascii="Avenir LT Std 45 Book" w:hAnsi="Avenir LT Std 45 Book" w:cs="Arial"/>
        <w:noProof/>
        <w:color w:val="808080"/>
        <w:szCs w:val="20"/>
      </w:rPr>
      <w:t>37</w:t>
    </w:r>
    <w:r w:rsidRPr="00CF00D0">
      <w:rPr>
        <w:rFonts w:ascii="Avenir LT Std 45 Book" w:hAnsi="Avenir LT Std 45 Book" w:cs="Arial"/>
        <w:color w:val="808080"/>
        <w:szCs w:val="20"/>
      </w:rPr>
      <w:fldChar w:fldCharType="end"/>
    </w:r>
  </w:p>
  <w:p w:rsidR="009915A4" w:rsidRPr="00813029" w:rsidRDefault="009915A4"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4" w:rsidRPr="00CF00D0" w:rsidRDefault="009915A4"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DE2397">
      <w:rPr>
        <w:rFonts w:ascii="Avenir LT Std 45 Book" w:hAnsi="Avenir LT Std 45 Book" w:cs="Arial"/>
        <w:noProof/>
        <w:color w:val="808080"/>
        <w:szCs w:val="20"/>
      </w:rPr>
      <w:t>21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DE2397">
      <w:rPr>
        <w:rFonts w:ascii="Avenir LT Std 45 Book" w:hAnsi="Avenir LT Std 45 Book" w:cs="Arial"/>
        <w:noProof/>
        <w:color w:val="808080"/>
        <w:szCs w:val="20"/>
      </w:rPr>
      <w:t>37</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1F" w:rsidRDefault="0080161F">
      <w:r>
        <w:separator/>
      </w:r>
    </w:p>
  </w:footnote>
  <w:footnote w:type="continuationSeparator" w:id="0">
    <w:p w:rsidR="0080161F" w:rsidRDefault="0080161F">
      <w:r>
        <w:continuationSeparator/>
      </w:r>
    </w:p>
  </w:footnote>
  <w:footnote w:id="1">
    <w:p w:rsidR="009915A4" w:rsidRPr="000008C2" w:rsidRDefault="009915A4">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4" w:rsidRPr="002809DB" w:rsidRDefault="009915A4"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5A4" w:rsidRPr="00CF00D0" w:rsidRDefault="009915A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9915A4" w:rsidRPr="00CF00D0" w:rsidRDefault="009915A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5A4" w:rsidRPr="00CF00D0" w:rsidRDefault="009915A4"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9915A4" w:rsidRPr="00CF00D0" w:rsidRDefault="009915A4"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4" w:rsidRPr="00CF00D0" w:rsidRDefault="009915A4"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sidRPr="00CB26C7">
      <w:rPr>
        <w:rFonts w:ascii="Avenir LT Std 45 Book" w:hAnsi="Avenir LT Std 45 Book" w:cs="Arial"/>
        <w:b/>
        <w:caps/>
        <w:noProof/>
        <w:color w:val="808080"/>
        <w:sz w:val="20"/>
        <w:szCs w:val="20"/>
      </w:rPr>
      <w:t>2.1.1.1.0 GOBIERNO ESTATAL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D5B3B35"/>
    <w:multiLevelType w:val="hybridMultilevel"/>
    <w:tmpl w:val="35CC276A"/>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F7954"/>
    <w:multiLevelType w:val="hybridMultilevel"/>
    <w:tmpl w:val="D700BE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61865"/>
    <w:multiLevelType w:val="hybridMultilevel"/>
    <w:tmpl w:val="45588FD8"/>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88070F0"/>
    <w:multiLevelType w:val="hybridMultilevel"/>
    <w:tmpl w:val="FA46E3DC"/>
    <w:lvl w:ilvl="0" w:tplc="1092F2C4">
      <w:start w:val="1"/>
      <w:numFmt w:val="decimal"/>
      <w:lvlText w:val="%1."/>
      <w:lvlJc w:val="left"/>
      <w:pPr>
        <w:ind w:left="360" w:hanging="36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6"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0"/>
  </w:num>
  <w:num w:numId="5">
    <w:abstractNumId w:val="6"/>
  </w:num>
  <w:num w:numId="6">
    <w:abstractNumId w:val="1"/>
  </w:num>
  <w:num w:numId="7">
    <w:abstractNumId w:val="2"/>
  </w:num>
  <w:num w:numId="8">
    <w:abstractNumId w:val="16"/>
  </w:num>
  <w:num w:numId="9">
    <w:abstractNumId w:val="7"/>
  </w:num>
  <w:num w:numId="10">
    <w:abstractNumId w:val="13"/>
  </w:num>
  <w:num w:numId="11">
    <w:abstractNumId w:val="3"/>
  </w:num>
  <w:num w:numId="12">
    <w:abstractNumId w:val="4"/>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2AD7"/>
    <w:rsid w:val="00003379"/>
    <w:rsid w:val="0000365A"/>
    <w:rsid w:val="00004B62"/>
    <w:rsid w:val="00005112"/>
    <w:rsid w:val="00005143"/>
    <w:rsid w:val="00005BA1"/>
    <w:rsid w:val="00005BBF"/>
    <w:rsid w:val="0000634E"/>
    <w:rsid w:val="00007AAC"/>
    <w:rsid w:val="000102CA"/>
    <w:rsid w:val="0001104C"/>
    <w:rsid w:val="000110F0"/>
    <w:rsid w:val="00011178"/>
    <w:rsid w:val="000119FE"/>
    <w:rsid w:val="0001214E"/>
    <w:rsid w:val="00012DB2"/>
    <w:rsid w:val="0001361A"/>
    <w:rsid w:val="00013641"/>
    <w:rsid w:val="00013D14"/>
    <w:rsid w:val="00016A7F"/>
    <w:rsid w:val="00017ACD"/>
    <w:rsid w:val="0002043D"/>
    <w:rsid w:val="00020562"/>
    <w:rsid w:val="00020A76"/>
    <w:rsid w:val="00020B87"/>
    <w:rsid w:val="00021A85"/>
    <w:rsid w:val="000254B8"/>
    <w:rsid w:val="00026019"/>
    <w:rsid w:val="000331A9"/>
    <w:rsid w:val="000337D3"/>
    <w:rsid w:val="000340A5"/>
    <w:rsid w:val="0003453F"/>
    <w:rsid w:val="00035026"/>
    <w:rsid w:val="000352FF"/>
    <w:rsid w:val="00040AA9"/>
    <w:rsid w:val="000412BA"/>
    <w:rsid w:val="00041BED"/>
    <w:rsid w:val="00042E9B"/>
    <w:rsid w:val="00043012"/>
    <w:rsid w:val="0004490E"/>
    <w:rsid w:val="0004595A"/>
    <w:rsid w:val="00046032"/>
    <w:rsid w:val="00046A9C"/>
    <w:rsid w:val="00052BAF"/>
    <w:rsid w:val="000556E4"/>
    <w:rsid w:val="00056302"/>
    <w:rsid w:val="0005667D"/>
    <w:rsid w:val="00056934"/>
    <w:rsid w:val="0006008C"/>
    <w:rsid w:val="00060302"/>
    <w:rsid w:val="00061653"/>
    <w:rsid w:val="00061C12"/>
    <w:rsid w:val="00061CB6"/>
    <w:rsid w:val="00062243"/>
    <w:rsid w:val="00062DAE"/>
    <w:rsid w:val="00063DF1"/>
    <w:rsid w:val="00063EA6"/>
    <w:rsid w:val="0006463E"/>
    <w:rsid w:val="00064969"/>
    <w:rsid w:val="0006529B"/>
    <w:rsid w:val="00065FBC"/>
    <w:rsid w:val="0006650E"/>
    <w:rsid w:val="000665BD"/>
    <w:rsid w:val="000674A8"/>
    <w:rsid w:val="00067BB4"/>
    <w:rsid w:val="00071233"/>
    <w:rsid w:val="00071FAC"/>
    <w:rsid w:val="00072CB2"/>
    <w:rsid w:val="00072E8E"/>
    <w:rsid w:val="00072F8B"/>
    <w:rsid w:val="00074B74"/>
    <w:rsid w:val="00075E8D"/>
    <w:rsid w:val="0007770A"/>
    <w:rsid w:val="00077B39"/>
    <w:rsid w:val="00077BF0"/>
    <w:rsid w:val="00080148"/>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CF7"/>
    <w:rsid w:val="00091D44"/>
    <w:rsid w:val="000927AA"/>
    <w:rsid w:val="00092DB3"/>
    <w:rsid w:val="00093302"/>
    <w:rsid w:val="0009463A"/>
    <w:rsid w:val="00097DDA"/>
    <w:rsid w:val="000A003D"/>
    <w:rsid w:val="000A04D9"/>
    <w:rsid w:val="000A0712"/>
    <w:rsid w:val="000A1CD9"/>
    <w:rsid w:val="000A204D"/>
    <w:rsid w:val="000A2512"/>
    <w:rsid w:val="000A378B"/>
    <w:rsid w:val="000A39DC"/>
    <w:rsid w:val="000A3F21"/>
    <w:rsid w:val="000A5319"/>
    <w:rsid w:val="000A66A2"/>
    <w:rsid w:val="000A6EDA"/>
    <w:rsid w:val="000B0333"/>
    <w:rsid w:val="000B09F9"/>
    <w:rsid w:val="000B0AAA"/>
    <w:rsid w:val="000B13A1"/>
    <w:rsid w:val="000B15B5"/>
    <w:rsid w:val="000B2E80"/>
    <w:rsid w:val="000B4B11"/>
    <w:rsid w:val="000B5B5B"/>
    <w:rsid w:val="000B6CF1"/>
    <w:rsid w:val="000B78FA"/>
    <w:rsid w:val="000C00FF"/>
    <w:rsid w:val="000C0C81"/>
    <w:rsid w:val="000C2C0C"/>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8A8"/>
    <w:rsid w:val="000E0E94"/>
    <w:rsid w:val="000E15DF"/>
    <w:rsid w:val="000E2289"/>
    <w:rsid w:val="000E22DA"/>
    <w:rsid w:val="000E2337"/>
    <w:rsid w:val="000E2BF9"/>
    <w:rsid w:val="000E381F"/>
    <w:rsid w:val="000E4D88"/>
    <w:rsid w:val="000E546D"/>
    <w:rsid w:val="000E6CDF"/>
    <w:rsid w:val="000E716C"/>
    <w:rsid w:val="000E74EF"/>
    <w:rsid w:val="000E77D4"/>
    <w:rsid w:val="000F12DA"/>
    <w:rsid w:val="000F1797"/>
    <w:rsid w:val="000F17A5"/>
    <w:rsid w:val="000F2A98"/>
    <w:rsid w:val="000F2ADF"/>
    <w:rsid w:val="000F2D49"/>
    <w:rsid w:val="000F44F2"/>
    <w:rsid w:val="000F72A0"/>
    <w:rsid w:val="000F74C6"/>
    <w:rsid w:val="000F79B7"/>
    <w:rsid w:val="001000AE"/>
    <w:rsid w:val="00100444"/>
    <w:rsid w:val="00101978"/>
    <w:rsid w:val="00102FF2"/>
    <w:rsid w:val="001042D7"/>
    <w:rsid w:val="001045F8"/>
    <w:rsid w:val="0010523D"/>
    <w:rsid w:val="0010568A"/>
    <w:rsid w:val="001059EB"/>
    <w:rsid w:val="001064F1"/>
    <w:rsid w:val="00106A13"/>
    <w:rsid w:val="00111281"/>
    <w:rsid w:val="00112BBE"/>
    <w:rsid w:val="00114B14"/>
    <w:rsid w:val="00115256"/>
    <w:rsid w:val="00115AA7"/>
    <w:rsid w:val="00116F9D"/>
    <w:rsid w:val="00122060"/>
    <w:rsid w:val="00122818"/>
    <w:rsid w:val="00124B1D"/>
    <w:rsid w:val="00124E6A"/>
    <w:rsid w:val="001253A5"/>
    <w:rsid w:val="00125540"/>
    <w:rsid w:val="001266F2"/>
    <w:rsid w:val="00126FF3"/>
    <w:rsid w:val="001273BF"/>
    <w:rsid w:val="00131D99"/>
    <w:rsid w:val="001336DB"/>
    <w:rsid w:val="00135637"/>
    <w:rsid w:val="00135733"/>
    <w:rsid w:val="0013607B"/>
    <w:rsid w:val="001364C8"/>
    <w:rsid w:val="00137D20"/>
    <w:rsid w:val="0014089D"/>
    <w:rsid w:val="001417BB"/>
    <w:rsid w:val="0014285E"/>
    <w:rsid w:val="001439B4"/>
    <w:rsid w:val="001441B9"/>
    <w:rsid w:val="00145CB3"/>
    <w:rsid w:val="00146909"/>
    <w:rsid w:val="00146A6D"/>
    <w:rsid w:val="00146FDB"/>
    <w:rsid w:val="00147069"/>
    <w:rsid w:val="001479F4"/>
    <w:rsid w:val="00150A77"/>
    <w:rsid w:val="00150FB0"/>
    <w:rsid w:val="001521C4"/>
    <w:rsid w:val="0015343C"/>
    <w:rsid w:val="00154562"/>
    <w:rsid w:val="00155B42"/>
    <w:rsid w:val="0015640F"/>
    <w:rsid w:val="001566C3"/>
    <w:rsid w:val="001604B7"/>
    <w:rsid w:val="0016150C"/>
    <w:rsid w:val="0016196C"/>
    <w:rsid w:val="0016265A"/>
    <w:rsid w:val="00163119"/>
    <w:rsid w:val="00163185"/>
    <w:rsid w:val="00163415"/>
    <w:rsid w:val="0016374B"/>
    <w:rsid w:val="00163875"/>
    <w:rsid w:val="0016437E"/>
    <w:rsid w:val="00167DCA"/>
    <w:rsid w:val="0017137D"/>
    <w:rsid w:val="001720CF"/>
    <w:rsid w:val="00172756"/>
    <w:rsid w:val="001728A2"/>
    <w:rsid w:val="0017452C"/>
    <w:rsid w:val="001749D4"/>
    <w:rsid w:val="00175B6D"/>
    <w:rsid w:val="00175C25"/>
    <w:rsid w:val="001772F2"/>
    <w:rsid w:val="00180019"/>
    <w:rsid w:val="001800C2"/>
    <w:rsid w:val="00180288"/>
    <w:rsid w:val="00180430"/>
    <w:rsid w:val="001819E5"/>
    <w:rsid w:val="00182C0E"/>
    <w:rsid w:val="00182DD5"/>
    <w:rsid w:val="001838C3"/>
    <w:rsid w:val="00187595"/>
    <w:rsid w:val="0018790A"/>
    <w:rsid w:val="00187971"/>
    <w:rsid w:val="00190350"/>
    <w:rsid w:val="0019167C"/>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54B2"/>
    <w:rsid w:val="001A6B95"/>
    <w:rsid w:val="001A7A7F"/>
    <w:rsid w:val="001B007B"/>
    <w:rsid w:val="001B2EE0"/>
    <w:rsid w:val="001B31A7"/>
    <w:rsid w:val="001B3BC0"/>
    <w:rsid w:val="001B49BF"/>
    <w:rsid w:val="001B59E3"/>
    <w:rsid w:val="001B59FD"/>
    <w:rsid w:val="001B5FF6"/>
    <w:rsid w:val="001B6B15"/>
    <w:rsid w:val="001B7767"/>
    <w:rsid w:val="001B7E6F"/>
    <w:rsid w:val="001C123D"/>
    <w:rsid w:val="001C1C28"/>
    <w:rsid w:val="001C2566"/>
    <w:rsid w:val="001C4C8E"/>
    <w:rsid w:val="001C4EC6"/>
    <w:rsid w:val="001C5B7A"/>
    <w:rsid w:val="001C6C60"/>
    <w:rsid w:val="001D0243"/>
    <w:rsid w:val="001D065E"/>
    <w:rsid w:val="001D12B4"/>
    <w:rsid w:val="001D1E5F"/>
    <w:rsid w:val="001D24A7"/>
    <w:rsid w:val="001D24E0"/>
    <w:rsid w:val="001D2914"/>
    <w:rsid w:val="001D2A70"/>
    <w:rsid w:val="001D3327"/>
    <w:rsid w:val="001D33F2"/>
    <w:rsid w:val="001D4900"/>
    <w:rsid w:val="001D49E1"/>
    <w:rsid w:val="001D5F80"/>
    <w:rsid w:val="001D7872"/>
    <w:rsid w:val="001E05DF"/>
    <w:rsid w:val="001E1CB3"/>
    <w:rsid w:val="001E25F1"/>
    <w:rsid w:val="001E4CA5"/>
    <w:rsid w:val="001E4FC7"/>
    <w:rsid w:val="001E50BC"/>
    <w:rsid w:val="001E58AF"/>
    <w:rsid w:val="001E5A70"/>
    <w:rsid w:val="001E6C3B"/>
    <w:rsid w:val="001E756A"/>
    <w:rsid w:val="001E76A0"/>
    <w:rsid w:val="001E79D9"/>
    <w:rsid w:val="001E7A8F"/>
    <w:rsid w:val="001F0730"/>
    <w:rsid w:val="001F1C10"/>
    <w:rsid w:val="001F1EBB"/>
    <w:rsid w:val="001F2B6F"/>
    <w:rsid w:val="001F326D"/>
    <w:rsid w:val="001F3FD7"/>
    <w:rsid w:val="001F4B48"/>
    <w:rsid w:val="001F7CB1"/>
    <w:rsid w:val="0020025A"/>
    <w:rsid w:val="00200A51"/>
    <w:rsid w:val="002015DB"/>
    <w:rsid w:val="00201E62"/>
    <w:rsid w:val="002020EC"/>
    <w:rsid w:val="00203925"/>
    <w:rsid w:val="00203F78"/>
    <w:rsid w:val="00205485"/>
    <w:rsid w:val="00206284"/>
    <w:rsid w:val="00206505"/>
    <w:rsid w:val="0020781E"/>
    <w:rsid w:val="00207EF6"/>
    <w:rsid w:val="00211037"/>
    <w:rsid w:val="0021150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8F0"/>
    <w:rsid w:val="00222005"/>
    <w:rsid w:val="002231E1"/>
    <w:rsid w:val="00224C36"/>
    <w:rsid w:val="002251DE"/>
    <w:rsid w:val="00225492"/>
    <w:rsid w:val="00226B9F"/>
    <w:rsid w:val="00227DFB"/>
    <w:rsid w:val="00227DFE"/>
    <w:rsid w:val="00227F86"/>
    <w:rsid w:val="00230158"/>
    <w:rsid w:val="002302DE"/>
    <w:rsid w:val="00232A23"/>
    <w:rsid w:val="002342BD"/>
    <w:rsid w:val="002343EC"/>
    <w:rsid w:val="00236CF7"/>
    <w:rsid w:val="00240BB4"/>
    <w:rsid w:val="00241785"/>
    <w:rsid w:val="00241A7E"/>
    <w:rsid w:val="00242B10"/>
    <w:rsid w:val="00242C39"/>
    <w:rsid w:val="00242F62"/>
    <w:rsid w:val="00244436"/>
    <w:rsid w:val="002467C7"/>
    <w:rsid w:val="00246D94"/>
    <w:rsid w:val="0024708F"/>
    <w:rsid w:val="002470B0"/>
    <w:rsid w:val="00250B7B"/>
    <w:rsid w:val="00250DEE"/>
    <w:rsid w:val="0025145F"/>
    <w:rsid w:val="00251646"/>
    <w:rsid w:val="002518AB"/>
    <w:rsid w:val="002520CD"/>
    <w:rsid w:val="00252AD1"/>
    <w:rsid w:val="00252F2E"/>
    <w:rsid w:val="00253096"/>
    <w:rsid w:val="002533F7"/>
    <w:rsid w:val="00253F02"/>
    <w:rsid w:val="00254118"/>
    <w:rsid w:val="002543BF"/>
    <w:rsid w:val="00255338"/>
    <w:rsid w:val="002561E9"/>
    <w:rsid w:val="00256C7C"/>
    <w:rsid w:val="00260BA7"/>
    <w:rsid w:val="002627EB"/>
    <w:rsid w:val="00263BCB"/>
    <w:rsid w:val="0026424A"/>
    <w:rsid w:val="00264C81"/>
    <w:rsid w:val="00265446"/>
    <w:rsid w:val="00265933"/>
    <w:rsid w:val="0026660B"/>
    <w:rsid w:val="0026735E"/>
    <w:rsid w:val="0027121D"/>
    <w:rsid w:val="0027160A"/>
    <w:rsid w:val="002723B2"/>
    <w:rsid w:val="002732AD"/>
    <w:rsid w:val="00273FF7"/>
    <w:rsid w:val="002746C5"/>
    <w:rsid w:val="002746E2"/>
    <w:rsid w:val="00275FC6"/>
    <w:rsid w:val="002773E2"/>
    <w:rsid w:val="002809DB"/>
    <w:rsid w:val="00281841"/>
    <w:rsid w:val="00281FCC"/>
    <w:rsid w:val="00282158"/>
    <w:rsid w:val="0028373B"/>
    <w:rsid w:val="00286927"/>
    <w:rsid w:val="00286C57"/>
    <w:rsid w:val="00287D39"/>
    <w:rsid w:val="00290A1E"/>
    <w:rsid w:val="002912B2"/>
    <w:rsid w:val="002914B5"/>
    <w:rsid w:val="002917C4"/>
    <w:rsid w:val="002917EF"/>
    <w:rsid w:val="00292137"/>
    <w:rsid w:val="00292BA3"/>
    <w:rsid w:val="00295733"/>
    <w:rsid w:val="00295E86"/>
    <w:rsid w:val="002A0DEA"/>
    <w:rsid w:val="002A13AC"/>
    <w:rsid w:val="002A244F"/>
    <w:rsid w:val="002A2B9C"/>
    <w:rsid w:val="002A4488"/>
    <w:rsid w:val="002A4762"/>
    <w:rsid w:val="002A58E0"/>
    <w:rsid w:val="002A622C"/>
    <w:rsid w:val="002A78B5"/>
    <w:rsid w:val="002B0822"/>
    <w:rsid w:val="002B0CD2"/>
    <w:rsid w:val="002B2035"/>
    <w:rsid w:val="002B35CF"/>
    <w:rsid w:val="002B4C24"/>
    <w:rsid w:val="002B581C"/>
    <w:rsid w:val="002B5A44"/>
    <w:rsid w:val="002B63DD"/>
    <w:rsid w:val="002B69BD"/>
    <w:rsid w:val="002B6D11"/>
    <w:rsid w:val="002B7EEF"/>
    <w:rsid w:val="002B7F42"/>
    <w:rsid w:val="002C05A9"/>
    <w:rsid w:val="002C11BF"/>
    <w:rsid w:val="002C326D"/>
    <w:rsid w:val="002C5E34"/>
    <w:rsid w:val="002C5FF5"/>
    <w:rsid w:val="002C6A1C"/>
    <w:rsid w:val="002C6C28"/>
    <w:rsid w:val="002C6F14"/>
    <w:rsid w:val="002D01C0"/>
    <w:rsid w:val="002D073F"/>
    <w:rsid w:val="002D07E1"/>
    <w:rsid w:val="002D09F5"/>
    <w:rsid w:val="002D0D0E"/>
    <w:rsid w:val="002D175D"/>
    <w:rsid w:val="002D19B9"/>
    <w:rsid w:val="002D275F"/>
    <w:rsid w:val="002D2A9C"/>
    <w:rsid w:val="002D2D06"/>
    <w:rsid w:val="002D30AE"/>
    <w:rsid w:val="002D4E67"/>
    <w:rsid w:val="002D539F"/>
    <w:rsid w:val="002D567A"/>
    <w:rsid w:val="002D582A"/>
    <w:rsid w:val="002D5F05"/>
    <w:rsid w:val="002D70DA"/>
    <w:rsid w:val="002E350B"/>
    <w:rsid w:val="002E3F8E"/>
    <w:rsid w:val="002E46D5"/>
    <w:rsid w:val="002E5A45"/>
    <w:rsid w:val="002E627B"/>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4BC2"/>
    <w:rsid w:val="003054EB"/>
    <w:rsid w:val="00305F95"/>
    <w:rsid w:val="00307A9B"/>
    <w:rsid w:val="00307CCF"/>
    <w:rsid w:val="00307FA8"/>
    <w:rsid w:val="00310BF0"/>
    <w:rsid w:val="0031662D"/>
    <w:rsid w:val="00316A2A"/>
    <w:rsid w:val="0031781D"/>
    <w:rsid w:val="003201EB"/>
    <w:rsid w:val="00320778"/>
    <w:rsid w:val="00322B3C"/>
    <w:rsid w:val="00322E1D"/>
    <w:rsid w:val="00323879"/>
    <w:rsid w:val="00324554"/>
    <w:rsid w:val="00326C76"/>
    <w:rsid w:val="00326F1D"/>
    <w:rsid w:val="00327755"/>
    <w:rsid w:val="0033017E"/>
    <w:rsid w:val="0033096D"/>
    <w:rsid w:val="00331133"/>
    <w:rsid w:val="00331243"/>
    <w:rsid w:val="0033302B"/>
    <w:rsid w:val="00335483"/>
    <w:rsid w:val="00335F9C"/>
    <w:rsid w:val="00336528"/>
    <w:rsid w:val="00336A72"/>
    <w:rsid w:val="00337FDA"/>
    <w:rsid w:val="0034013F"/>
    <w:rsid w:val="00340812"/>
    <w:rsid w:val="00340D63"/>
    <w:rsid w:val="00342D65"/>
    <w:rsid w:val="00342EAC"/>
    <w:rsid w:val="00343C0E"/>
    <w:rsid w:val="00344433"/>
    <w:rsid w:val="003448EC"/>
    <w:rsid w:val="00345AA1"/>
    <w:rsid w:val="00346055"/>
    <w:rsid w:val="00346605"/>
    <w:rsid w:val="00346748"/>
    <w:rsid w:val="00346AA5"/>
    <w:rsid w:val="003511F5"/>
    <w:rsid w:val="00351CE0"/>
    <w:rsid w:val="00352675"/>
    <w:rsid w:val="00353E1D"/>
    <w:rsid w:val="003556AE"/>
    <w:rsid w:val="003560BA"/>
    <w:rsid w:val="00357944"/>
    <w:rsid w:val="00357BCC"/>
    <w:rsid w:val="0036144D"/>
    <w:rsid w:val="00361475"/>
    <w:rsid w:val="003617C9"/>
    <w:rsid w:val="00363026"/>
    <w:rsid w:val="00364153"/>
    <w:rsid w:val="003645A3"/>
    <w:rsid w:val="00365269"/>
    <w:rsid w:val="003652FF"/>
    <w:rsid w:val="003667D6"/>
    <w:rsid w:val="00367360"/>
    <w:rsid w:val="0036788B"/>
    <w:rsid w:val="00367978"/>
    <w:rsid w:val="00367BC4"/>
    <w:rsid w:val="00370CEA"/>
    <w:rsid w:val="00371987"/>
    <w:rsid w:val="0037217E"/>
    <w:rsid w:val="00372E51"/>
    <w:rsid w:val="0037305C"/>
    <w:rsid w:val="00375B3F"/>
    <w:rsid w:val="0037658D"/>
    <w:rsid w:val="0037681C"/>
    <w:rsid w:val="00376EDA"/>
    <w:rsid w:val="0037720F"/>
    <w:rsid w:val="0037725B"/>
    <w:rsid w:val="003779D7"/>
    <w:rsid w:val="00381DF8"/>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2790"/>
    <w:rsid w:val="003A517C"/>
    <w:rsid w:val="003A59A7"/>
    <w:rsid w:val="003A7B97"/>
    <w:rsid w:val="003A7E4D"/>
    <w:rsid w:val="003B1DD2"/>
    <w:rsid w:val="003B3FFD"/>
    <w:rsid w:val="003B40C6"/>
    <w:rsid w:val="003B4352"/>
    <w:rsid w:val="003B4E51"/>
    <w:rsid w:val="003B57E5"/>
    <w:rsid w:val="003B5C50"/>
    <w:rsid w:val="003B5D25"/>
    <w:rsid w:val="003B6069"/>
    <w:rsid w:val="003B73FB"/>
    <w:rsid w:val="003B7496"/>
    <w:rsid w:val="003B75E0"/>
    <w:rsid w:val="003B7CB9"/>
    <w:rsid w:val="003C1765"/>
    <w:rsid w:val="003C2087"/>
    <w:rsid w:val="003C22D2"/>
    <w:rsid w:val="003C24B5"/>
    <w:rsid w:val="003C4CBC"/>
    <w:rsid w:val="003C4E05"/>
    <w:rsid w:val="003C5A2A"/>
    <w:rsid w:val="003C6DD2"/>
    <w:rsid w:val="003D1533"/>
    <w:rsid w:val="003D1C03"/>
    <w:rsid w:val="003D1DB6"/>
    <w:rsid w:val="003D26C8"/>
    <w:rsid w:val="003D549A"/>
    <w:rsid w:val="003D60CA"/>
    <w:rsid w:val="003D625E"/>
    <w:rsid w:val="003D73D3"/>
    <w:rsid w:val="003D7CFB"/>
    <w:rsid w:val="003E1B61"/>
    <w:rsid w:val="003E1E70"/>
    <w:rsid w:val="003E212F"/>
    <w:rsid w:val="003E26AC"/>
    <w:rsid w:val="003E36D8"/>
    <w:rsid w:val="003E3745"/>
    <w:rsid w:val="003E3F5F"/>
    <w:rsid w:val="003E454E"/>
    <w:rsid w:val="003E590B"/>
    <w:rsid w:val="003E5C1A"/>
    <w:rsid w:val="003E6265"/>
    <w:rsid w:val="003E66DA"/>
    <w:rsid w:val="003E68F1"/>
    <w:rsid w:val="003E7073"/>
    <w:rsid w:val="003E7A1F"/>
    <w:rsid w:val="003F0D0E"/>
    <w:rsid w:val="003F1AFF"/>
    <w:rsid w:val="003F2A85"/>
    <w:rsid w:val="003F4571"/>
    <w:rsid w:val="003F5DDB"/>
    <w:rsid w:val="003F68D8"/>
    <w:rsid w:val="004006C7"/>
    <w:rsid w:val="00401ABA"/>
    <w:rsid w:val="004062B0"/>
    <w:rsid w:val="00406B69"/>
    <w:rsid w:val="00406E8D"/>
    <w:rsid w:val="00410326"/>
    <w:rsid w:val="00410514"/>
    <w:rsid w:val="004113F9"/>
    <w:rsid w:val="00411CAA"/>
    <w:rsid w:val="0041449D"/>
    <w:rsid w:val="00414750"/>
    <w:rsid w:val="00414C14"/>
    <w:rsid w:val="00415091"/>
    <w:rsid w:val="004151FB"/>
    <w:rsid w:val="00415E93"/>
    <w:rsid w:val="004205E8"/>
    <w:rsid w:val="00421938"/>
    <w:rsid w:val="004240FB"/>
    <w:rsid w:val="0042445F"/>
    <w:rsid w:val="00424A9E"/>
    <w:rsid w:val="00424C1D"/>
    <w:rsid w:val="00426A69"/>
    <w:rsid w:val="00426F3B"/>
    <w:rsid w:val="004312BA"/>
    <w:rsid w:val="00431B24"/>
    <w:rsid w:val="00431F2D"/>
    <w:rsid w:val="004328DE"/>
    <w:rsid w:val="0043296A"/>
    <w:rsid w:val="0043333B"/>
    <w:rsid w:val="00434092"/>
    <w:rsid w:val="00435188"/>
    <w:rsid w:val="004355B4"/>
    <w:rsid w:val="00436CA6"/>
    <w:rsid w:val="0044029F"/>
    <w:rsid w:val="0044129E"/>
    <w:rsid w:val="00441C6F"/>
    <w:rsid w:val="0044221B"/>
    <w:rsid w:val="004440E5"/>
    <w:rsid w:val="00444534"/>
    <w:rsid w:val="004456AB"/>
    <w:rsid w:val="00446413"/>
    <w:rsid w:val="004469F9"/>
    <w:rsid w:val="00447D79"/>
    <w:rsid w:val="0045040C"/>
    <w:rsid w:val="004507B9"/>
    <w:rsid w:val="004517F3"/>
    <w:rsid w:val="004518ED"/>
    <w:rsid w:val="00451D48"/>
    <w:rsid w:val="00451ED0"/>
    <w:rsid w:val="0045200F"/>
    <w:rsid w:val="004526A2"/>
    <w:rsid w:val="004533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72E7C"/>
    <w:rsid w:val="004740AE"/>
    <w:rsid w:val="004741D4"/>
    <w:rsid w:val="00475CE6"/>
    <w:rsid w:val="00476695"/>
    <w:rsid w:val="004767C3"/>
    <w:rsid w:val="00477026"/>
    <w:rsid w:val="00480EEE"/>
    <w:rsid w:val="004839AF"/>
    <w:rsid w:val="004843B2"/>
    <w:rsid w:val="00484DCB"/>
    <w:rsid w:val="00484DD3"/>
    <w:rsid w:val="00485520"/>
    <w:rsid w:val="004859FD"/>
    <w:rsid w:val="00486047"/>
    <w:rsid w:val="00487A33"/>
    <w:rsid w:val="00490D60"/>
    <w:rsid w:val="00492524"/>
    <w:rsid w:val="00493D28"/>
    <w:rsid w:val="0049432F"/>
    <w:rsid w:val="00494785"/>
    <w:rsid w:val="00494F9B"/>
    <w:rsid w:val="0049525A"/>
    <w:rsid w:val="00495C2F"/>
    <w:rsid w:val="00495D64"/>
    <w:rsid w:val="004962D8"/>
    <w:rsid w:val="0049650D"/>
    <w:rsid w:val="00497797"/>
    <w:rsid w:val="004A0C97"/>
    <w:rsid w:val="004A0E1A"/>
    <w:rsid w:val="004A1368"/>
    <w:rsid w:val="004A1C34"/>
    <w:rsid w:val="004A3AD8"/>
    <w:rsid w:val="004A3D23"/>
    <w:rsid w:val="004A6232"/>
    <w:rsid w:val="004A62B7"/>
    <w:rsid w:val="004B147A"/>
    <w:rsid w:val="004B2EEB"/>
    <w:rsid w:val="004B30CC"/>
    <w:rsid w:val="004B310C"/>
    <w:rsid w:val="004B3941"/>
    <w:rsid w:val="004B41B4"/>
    <w:rsid w:val="004B59B5"/>
    <w:rsid w:val="004B5C83"/>
    <w:rsid w:val="004B6C06"/>
    <w:rsid w:val="004C1719"/>
    <w:rsid w:val="004C1B40"/>
    <w:rsid w:val="004C1BA7"/>
    <w:rsid w:val="004C2FFF"/>
    <w:rsid w:val="004C339D"/>
    <w:rsid w:val="004C4FF6"/>
    <w:rsid w:val="004C60BE"/>
    <w:rsid w:val="004C68EB"/>
    <w:rsid w:val="004C6B99"/>
    <w:rsid w:val="004C6E9E"/>
    <w:rsid w:val="004C713E"/>
    <w:rsid w:val="004C7227"/>
    <w:rsid w:val="004D021F"/>
    <w:rsid w:val="004D054E"/>
    <w:rsid w:val="004D1AEA"/>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4CE7"/>
    <w:rsid w:val="004E50FA"/>
    <w:rsid w:val="004E6603"/>
    <w:rsid w:val="004E6838"/>
    <w:rsid w:val="004F1C06"/>
    <w:rsid w:val="004F29E6"/>
    <w:rsid w:val="004F2F74"/>
    <w:rsid w:val="004F43A7"/>
    <w:rsid w:val="004F4747"/>
    <w:rsid w:val="004F4D35"/>
    <w:rsid w:val="004F5447"/>
    <w:rsid w:val="004F6EA1"/>
    <w:rsid w:val="00500D62"/>
    <w:rsid w:val="00502074"/>
    <w:rsid w:val="005020F5"/>
    <w:rsid w:val="00502A17"/>
    <w:rsid w:val="00503380"/>
    <w:rsid w:val="00504127"/>
    <w:rsid w:val="0050424B"/>
    <w:rsid w:val="00506C1D"/>
    <w:rsid w:val="00507EAD"/>
    <w:rsid w:val="00510147"/>
    <w:rsid w:val="00510EE0"/>
    <w:rsid w:val="00510FC1"/>
    <w:rsid w:val="00510FDC"/>
    <w:rsid w:val="00511219"/>
    <w:rsid w:val="0051122A"/>
    <w:rsid w:val="00511394"/>
    <w:rsid w:val="00511CB7"/>
    <w:rsid w:val="00511E0B"/>
    <w:rsid w:val="00512DFD"/>
    <w:rsid w:val="005207C4"/>
    <w:rsid w:val="005212A5"/>
    <w:rsid w:val="00523691"/>
    <w:rsid w:val="00524520"/>
    <w:rsid w:val="00525356"/>
    <w:rsid w:val="0052576B"/>
    <w:rsid w:val="005257C2"/>
    <w:rsid w:val="005263A0"/>
    <w:rsid w:val="005265BA"/>
    <w:rsid w:val="005304C7"/>
    <w:rsid w:val="00530766"/>
    <w:rsid w:val="00534381"/>
    <w:rsid w:val="00534D22"/>
    <w:rsid w:val="00535CCB"/>
    <w:rsid w:val="005366D2"/>
    <w:rsid w:val="00536835"/>
    <w:rsid w:val="0053768A"/>
    <w:rsid w:val="00540DC3"/>
    <w:rsid w:val="005413CB"/>
    <w:rsid w:val="00545819"/>
    <w:rsid w:val="005458B3"/>
    <w:rsid w:val="00546943"/>
    <w:rsid w:val="00546A5E"/>
    <w:rsid w:val="00547241"/>
    <w:rsid w:val="005501FC"/>
    <w:rsid w:val="005502D4"/>
    <w:rsid w:val="00551803"/>
    <w:rsid w:val="00552B5D"/>
    <w:rsid w:val="00553895"/>
    <w:rsid w:val="00553B60"/>
    <w:rsid w:val="005540CE"/>
    <w:rsid w:val="0055474B"/>
    <w:rsid w:val="00554986"/>
    <w:rsid w:val="0055682D"/>
    <w:rsid w:val="00557684"/>
    <w:rsid w:val="00557E69"/>
    <w:rsid w:val="00560276"/>
    <w:rsid w:val="0056133C"/>
    <w:rsid w:val="00561524"/>
    <w:rsid w:val="00561587"/>
    <w:rsid w:val="00561C53"/>
    <w:rsid w:val="0056200F"/>
    <w:rsid w:val="00562288"/>
    <w:rsid w:val="00563C54"/>
    <w:rsid w:val="0056516C"/>
    <w:rsid w:val="0056668F"/>
    <w:rsid w:val="00566DBA"/>
    <w:rsid w:val="00567262"/>
    <w:rsid w:val="00567532"/>
    <w:rsid w:val="00573AA9"/>
    <w:rsid w:val="005741E8"/>
    <w:rsid w:val="00574885"/>
    <w:rsid w:val="0057495B"/>
    <w:rsid w:val="00574FA7"/>
    <w:rsid w:val="00575764"/>
    <w:rsid w:val="00575E33"/>
    <w:rsid w:val="00575E9B"/>
    <w:rsid w:val="005762C1"/>
    <w:rsid w:val="005772EB"/>
    <w:rsid w:val="00577A8F"/>
    <w:rsid w:val="00577C22"/>
    <w:rsid w:val="00577F5D"/>
    <w:rsid w:val="00580774"/>
    <w:rsid w:val="00580A3B"/>
    <w:rsid w:val="00580C05"/>
    <w:rsid w:val="00581FFA"/>
    <w:rsid w:val="00582811"/>
    <w:rsid w:val="00582CFB"/>
    <w:rsid w:val="0058361C"/>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F7"/>
    <w:rsid w:val="00594288"/>
    <w:rsid w:val="00594AEA"/>
    <w:rsid w:val="00594C8E"/>
    <w:rsid w:val="00595156"/>
    <w:rsid w:val="00595CC5"/>
    <w:rsid w:val="005A0055"/>
    <w:rsid w:val="005A0224"/>
    <w:rsid w:val="005A0B85"/>
    <w:rsid w:val="005A1C51"/>
    <w:rsid w:val="005A359D"/>
    <w:rsid w:val="005A46D1"/>
    <w:rsid w:val="005A4FA0"/>
    <w:rsid w:val="005A5F4B"/>
    <w:rsid w:val="005A68FB"/>
    <w:rsid w:val="005A775E"/>
    <w:rsid w:val="005A7F0F"/>
    <w:rsid w:val="005B101A"/>
    <w:rsid w:val="005B104F"/>
    <w:rsid w:val="005B1107"/>
    <w:rsid w:val="005B1AC4"/>
    <w:rsid w:val="005B218B"/>
    <w:rsid w:val="005B3317"/>
    <w:rsid w:val="005B34A6"/>
    <w:rsid w:val="005B4512"/>
    <w:rsid w:val="005B4559"/>
    <w:rsid w:val="005B4B5E"/>
    <w:rsid w:val="005B5FB9"/>
    <w:rsid w:val="005B6BFE"/>
    <w:rsid w:val="005B7161"/>
    <w:rsid w:val="005B7481"/>
    <w:rsid w:val="005B7578"/>
    <w:rsid w:val="005B77E7"/>
    <w:rsid w:val="005C2A58"/>
    <w:rsid w:val="005C3596"/>
    <w:rsid w:val="005C35ED"/>
    <w:rsid w:val="005C3827"/>
    <w:rsid w:val="005C5B60"/>
    <w:rsid w:val="005C73AA"/>
    <w:rsid w:val="005C7AF2"/>
    <w:rsid w:val="005D109B"/>
    <w:rsid w:val="005D1668"/>
    <w:rsid w:val="005D173C"/>
    <w:rsid w:val="005D2A12"/>
    <w:rsid w:val="005D47A8"/>
    <w:rsid w:val="005D523C"/>
    <w:rsid w:val="005D5332"/>
    <w:rsid w:val="005D6754"/>
    <w:rsid w:val="005D74FD"/>
    <w:rsid w:val="005D776E"/>
    <w:rsid w:val="005D78A0"/>
    <w:rsid w:val="005E1616"/>
    <w:rsid w:val="005E2891"/>
    <w:rsid w:val="005E54BD"/>
    <w:rsid w:val="005E62A0"/>
    <w:rsid w:val="005E62CF"/>
    <w:rsid w:val="005E633D"/>
    <w:rsid w:val="005E6655"/>
    <w:rsid w:val="005E767D"/>
    <w:rsid w:val="005F1655"/>
    <w:rsid w:val="005F16E5"/>
    <w:rsid w:val="005F1A84"/>
    <w:rsid w:val="005F1B6C"/>
    <w:rsid w:val="005F371E"/>
    <w:rsid w:val="005F49FE"/>
    <w:rsid w:val="005F6A84"/>
    <w:rsid w:val="005F6E58"/>
    <w:rsid w:val="005F74EC"/>
    <w:rsid w:val="006010D1"/>
    <w:rsid w:val="00601445"/>
    <w:rsid w:val="00601AE6"/>
    <w:rsid w:val="006021DE"/>
    <w:rsid w:val="006022B0"/>
    <w:rsid w:val="0060286C"/>
    <w:rsid w:val="00602A2C"/>
    <w:rsid w:val="00602DCF"/>
    <w:rsid w:val="00603D16"/>
    <w:rsid w:val="00604EC9"/>
    <w:rsid w:val="00605C08"/>
    <w:rsid w:val="00606746"/>
    <w:rsid w:val="00607FF5"/>
    <w:rsid w:val="00610341"/>
    <w:rsid w:val="0061242D"/>
    <w:rsid w:val="0061259E"/>
    <w:rsid w:val="00612BED"/>
    <w:rsid w:val="006133CA"/>
    <w:rsid w:val="00613830"/>
    <w:rsid w:val="006139C6"/>
    <w:rsid w:val="00613A8C"/>
    <w:rsid w:val="00614582"/>
    <w:rsid w:val="006149E7"/>
    <w:rsid w:val="00614C81"/>
    <w:rsid w:val="00616733"/>
    <w:rsid w:val="00616A1C"/>
    <w:rsid w:val="00617048"/>
    <w:rsid w:val="006233B9"/>
    <w:rsid w:val="00623736"/>
    <w:rsid w:val="006248C4"/>
    <w:rsid w:val="006252D7"/>
    <w:rsid w:val="00625567"/>
    <w:rsid w:val="006257BF"/>
    <w:rsid w:val="00625B1D"/>
    <w:rsid w:val="00626039"/>
    <w:rsid w:val="006271A5"/>
    <w:rsid w:val="00627A77"/>
    <w:rsid w:val="00630259"/>
    <w:rsid w:val="006325F6"/>
    <w:rsid w:val="006326E0"/>
    <w:rsid w:val="006335BE"/>
    <w:rsid w:val="006336C1"/>
    <w:rsid w:val="00633A5C"/>
    <w:rsid w:val="00633B0D"/>
    <w:rsid w:val="00633BB0"/>
    <w:rsid w:val="006346C3"/>
    <w:rsid w:val="00636810"/>
    <w:rsid w:val="00636B19"/>
    <w:rsid w:val="00641064"/>
    <w:rsid w:val="006412C4"/>
    <w:rsid w:val="00643780"/>
    <w:rsid w:val="0064465C"/>
    <w:rsid w:val="00644D08"/>
    <w:rsid w:val="00645CF5"/>
    <w:rsid w:val="00646E01"/>
    <w:rsid w:val="0064728F"/>
    <w:rsid w:val="00650910"/>
    <w:rsid w:val="00650F0D"/>
    <w:rsid w:val="006510EA"/>
    <w:rsid w:val="00651181"/>
    <w:rsid w:val="006514D6"/>
    <w:rsid w:val="00652753"/>
    <w:rsid w:val="006529CA"/>
    <w:rsid w:val="00653271"/>
    <w:rsid w:val="00653309"/>
    <w:rsid w:val="0065332D"/>
    <w:rsid w:val="00653A8A"/>
    <w:rsid w:val="00654877"/>
    <w:rsid w:val="0065572E"/>
    <w:rsid w:val="00655AEB"/>
    <w:rsid w:val="00657A7B"/>
    <w:rsid w:val="00657B65"/>
    <w:rsid w:val="00657DC9"/>
    <w:rsid w:val="00657EB4"/>
    <w:rsid w:val="00661598"/>
    <w:rsid w:val="0066187B"/>
    <w:rsid w:val="00661F4A"/>
    <w:rsid w:val="00663A50"/>
    <w:rsid w:val="006642DB"/>
    <w:rsid w:val="00664615"/>
    <w:rsid w:val="006651AA"/>
    <w:rsid w:val="00665D1C"/>
    <w:rsid w:val="00666857"/>
    <w:rsid w:val="00674D34"/>
    <w:rsid w:val="006758C9"/>
    <w:rsid w:val="00675CA5"/>
    <w:rsid w:val="006772B8"/>
    <w:rsid w:val="00677D8C"/>
    <w:rsid w:val="0068040B"/>
    <w:rsid w:val="00681FD8"/>
    <w:rsid w:val="00684CB6"/>
    <w:rsid w:val="00685631"/>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9D6"/>
    <w:rsid w:val="006A5D2D"/>
    <w:rsid w:val="006A5F13"/>
    <w:rsid w:val="006A6891"/>
    <w:rsid w:val="006A6B49"/>
    <w:rsid w:val="006A7235"/>
    <w:rsid w:val="006A780E"/>
    <w:rsid w:val="006A790E"/>
    <w:rsid w:val="006A7FF2"/>
    <w:rsid w:val="006B0DBD"/>
    <w:rsid w:val="006B1039"/>
    <w:rsid w:val="006B1667"/>
    <w:rsid w:val="006B1D2C"/>
    <w:rsid w:val="006B2EC6"/>
    <w:rsid w:val="006B32C0"/>
    <w:rsid w:val="006B35C9"/>
    <w:rsid w:val="006B4652"/>
    <w:rsid w:val="006B4DF1"/>
    <w:rsid w:val="006B5715"/>
    <w:rsid w:val="006B6BCD"/>
    <w:rsid w:val="006B71D9"/>
    <w:rsid w:val="006C029D"/>
    <w:rsid w:val="006C17A5"/>
    <w:rsid w:val="006C1A9C"/>
    <w:rsid w:val="006C2219"/>
    <w:rsid w:val="006C2EE1"/>
    <w:rsid w:val="006C3A54"/>
    <w:rsid w:val="006C44EF"/>
    <w:rsid w:val="006C4627"/>
    <w:rsid w:val="006C5505"/>
    <w:rsid w:val="006C5E04"/>
    <w:rsid w:val="006C5E33"/>
    <w:rsid w:val="006C65CA"/>
    <w:rsid w:val="006C6725"/>
    <w:rsid w:val="006C699E"/>
    <w:rsid w:val="006C6B9C"/>
    <w:rsid w:val="006D2D28"/>
    <w:rsid w:val="006D31F7"/>
    <w:rsid w:val="006D4BEF"/>
    <w:rsid w:val="006D4C98"/>
    <w:rsid w:val="006D56DB"/>
    <w:rsid w:val="006D64BC"/>
    <w:rsid w:val="006D656F"/>
    <w:rsid w:val="006D6B67"/>
    <w:rsid w:val="006D78D0"/>
    <w:rsid w:val="006D7C26"/>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71E7"/>
    <w:rsid w:val="006E751A"/>
    <w:rsid w:val="006E791A"/>
    <w:rsid w:val="006F0069"/>
    <w:rsid w:val="006F0567"/>
    <w:rsid w:val="006F1C6B"/>
    <w:rsid w:val="006F2CDC"/>
    <w:rsid w:val="006F2CE5"/>
    <w:rsid w:val="006F3052"/>
    <w:rsid w:val="006F3766"/>
    <w:rsid w:val="006F5C81"/>
    <w:rsid w:val="006F6CBA"/>
    <w:rsid w:val="006F70EC"/>
    <w:rsid w:val="006F716B"/>
    <w:rsid w:val="007026AA"/>
    <w:rsid w:val="00703199"/>
    <w:rsid w:val="00703E68"/>
    <w:rsid w:val="0070533A"/>
    <w:rsid w:val="007055D5"/>
    <w:rsid w:val="00707535"/>
    <w:rsid w:val="00707C61"/>
    <w:rsid w:val="007104C4"/>
    <w:rsid w:val="00710CEA"/>
    <w:rsid w:val="0071249F"/>
    <w:rsid w:val="00715A42"/>
    <w:rsid w:val="007168E9"/>
    <w:rsid w:val="00717CAF"/>
    <w:rsid w:val="007209AF"/>
    <w:rsid w:val="007215EB"/>
    <w:rsid w:val="007218B4"/>
    <w:rsid w:val="007219D0"/>
    <w:rsid w:val="00721EA2"/>
    <w:rsid w:val="00723C69"/>
    <w:rsid w:val="0073188F"/>
    <w:rsid w:val="007320B0"/>
    <w:rsid w:val="007346DA"/>
    <w:rsid w:val="00736A30"/>
    <w:rsid w:val="00737B98"/>
    <w:rsid w:val="00740A02"/>
    <w:rsid w:val="007415AD"/>
    <w:rsid w:val="00742511"/>
    <w:rsid w:val="00742F7B"/>
    <w:rsid w:val="00743315"/>
    <w:rsid w:val="00743B5C"/>
    <w:rsid w:val="00743E80"/>
    <w:rsid w:val="007441E5"/>
    <w:rsid w:val="00744DB9"/>
    <w:rsid w:val="00745E54"/>
    <w:rsid w:val="0075022F"/>
    <w:rsid w:val="007525A2"/>
    <w:rsid w:val="007528C4"/>
    <w:rsid w:val="0075297D"/>
    <w:rsid w:val="00752A6C"/>
    <w:rsid w:val="00752C15"/>
    <w:rsid w:val="0075313E"/>
    <w:rsid w:val="007531B7"/>
    <w:rsid w:val="00756556"/>
    <w:rsid w:val="007577EA"/>
    <w:rsid w:val="00761C82"/>
    <w:rsid w:val="00761CD0"/>
    <w:rsid w:val="00761CFE"/>
    <w:rsid w:val="00761F8C"/>
    <w:rsid w:val="00762818"/>
    <w:rsid w:val="00764774"/>
    <w:rsid w:val="007657CF"/>
    <w:rsid w:val="00767A64"/>
    <w:rsid w:val="007708EF"/>
    <w:rsid w:val="0077144A"/>
    <w:rsid w:val="007740BC"/>
    <w:rsid w:val="0077473B"/>
    <w:rsid w:val="007752B8"/>
    <w:rsid w:val="00776048"/>
    <w:rsid w:val="00776AEC"/>
    <w:rsid w:val="00777049"/>
    <w:rsid w:val="007777A2"/>
    <w:rsid w:val="00777E8E"/>
    <w:rsid w:val="007802CD"/>
    <w:rsid w:val="00780EE6"/>
    <w:rsid w:val="00781178"/>
    <w:rsid w:val="00781DD1"/>
    <w:rsid w:val="007820C1"/>
    <w:rsid w:val="007828FE"/>
    <w:rsid w:val="00785016"/>
    <w:rsid w:val="0078594D"/>
    <w:rsid w:val="0078701F"/>
    <w:rsid w:val="00787C53"/>
    <w:rsid w:val="00790874"/>
    <w:rsid w:val="007908E3"/>
    <w:rsid w:val="00790B31"/>
    <w:rsid w:val="00791983"/>
    <w:rsid w:val="00791B32"/>
    <w:rsid w:val="00791E59"/>
    <w:rsid w:val="00792A99"/>
    <w:rsid w:val="007939EC"/>
    <w:rsid w:val="00793CBA"/>
    <w:rsid w:val="00793D0F"/>
    <w:rsid w:val="0079429A"/>
    <w:rsid w:val="0079508D"/>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8B"/>
    <w:rsid w:val="007B0C9E"/>
    <w:rsid w:val="007B1966"/>
    <w:rsid w:val="007B1AB6"/>
    <w:rsid w:val="007B31D9"/>
    <w:rsid w:val="007B37D9"/>
    <w:rsid w:val="007B68D7"/>
    <w:rsid w:val="007C0E7C"/>
    <w:rsid w:val="007C0FB6"/>
    <w:rsid w:val="007C220C"/>
    <w:rsid w:val="007C2A73"/>
    <w:rsid w:val="007C302E"/>
    <w:rsid w:val="007C4ABB"/>
    <w:rsid w:val="007C5B5D"/>
    <w:rsid w:val="007C66D8"/>
    <w:rsid w:val="007C6AE4"/>
    <w:rsid w:val="007C6D97"/>
    <w:rsid w:val="007C6E24"/>
    <w:rsid w:val="007D14C3"/>
    <w:rsid w:val="007D2E19"/>
    <w:rsid w:val="007D4231"/>
    <w:rsid w:val="007D4497"/>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F7F"/>
    <w:rsid w:val="007F369A"/>
    <w:rsid w:val="007F451F"/>
    <w:rsid w:val="007F4691"/>
    <w:rsid w:val="007F59AD"/>
    <w:rsid w:val="007F631E"/>
    <w:rsid w:val="007F73AD"/>
    <w:rsid w:val="007F7800"/>
    <w:rsid w:val="008000AB"/>
    <w:rsid w:val="0080091E"/>
    <w:rsid w:val="008010BA"/>
    <w:rsid w:val="0080161F"/>
    <w:rsid w:val="00801F7E"/>
    <w:rsid w:val="00803106"/>
    <w:rsid w:val="008035B3"/>
    <w:rsid w:val="008035D2"/>
    <w:rsid w:val="008053D2"/>
    <w:rsid w:val="008054D5"/>
    <w:rsid w:val="00805B87"/>
    <w:rsid w:val="00805CF8"/>
    <w:rsid w:val="008063C7"/>
    <w:rsid w:val="00806813"/>
    <w:rsid w:val="00806AA5"/>
    <w:rsid w:val="00812398"/>
    <w:rsid w:val="00812B35"/>
    <w:rsid w:val="00812C14"/>
    <w:rsid w:val="00813029"/>
    <w:rsid w:val="00813175"/>
    <w:rsid w:val="00814AB0"/>
    <w:rsid w:val="008150D0"/>
    <w:rsid w:val="00815159"/>
    <w:rsid w:val="0081697F"/>
    <w:rsid w:val="008200B7"/>
    <w:rsid w:val="008205CD"/>
    <w:rsid w:val="00821074"/>
    <w:rsid w:val="00821350"/>
    <w:rsid w:val="00822B29"/>
    <w:rsid w:val="00823211"/>
    <w:rsid w:val="00823A3C"/>
    <w:rsid w:val="00823FF9"/>
    <w:rsid w:val="00825E79"/>
    <w:rsid w:val="00825F4C"/>
    <w:rsid w:val="008271C3"/>
    <w:rsid w:val="00827C56"/>
    <w:rsid w:val="008304DC"/>
    <w:rsid w:val="00831A1B"/>
    <w:rsid w:val="00831A3C"/>
    <w:rsid w:val="00831E8C"/>
    <w:rsid w:val="00831F42"/>
    <w:rsid w:val="00832537"/>
    <w:rsid w:val="0083269B"/>
    <w:rsid w:val="00834484"/>
    <w:rsid w:val="008347B1"/>
    <w:rsid w:val="00834C43"/>
    <w:rsid w:val="00834C6C"/>
    <w:rsid w:val="00834CC0"/>
    <w:rsid w:val="00834DE9"/>
    <w:rsid w:val="00835157"/>
    <w:rsid w:val="00840BDE"/>
    <w:rsid w:val="008410FB"/>
    <w:rsid w:val="008412EF"/>
    <w:rsid w:val="0084187C"/>
    <w:rsid w:val="00841F59"/>
    <w:rsid w:val="00842977"/>
    <w:rsid w:val="00843574"/>
    <w:rsid w:val="00843A2B"/>
    <w:rsid w:val="008452C2"/>
    <w:rsid w:val="008456B2"/>
    <w:rsid w:val="00845C6F"/>
    <w:rsid w:val="00846863"/>
    <w:rsid w:val="00847665"/>
    <w:rsid w:val="0085062D"/>
    <w:rsid w:val="00850AEE"/>
    <w:rsid w:val="0085145D"/>
    <w:rsid w:val="00852D9D"/>
    <w:rsid w:val="008544F6"/>
    <w:rsid w:val="008557BB"/>
    <w:rsid w:val="00856D5A"/>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1D17"/>
    <w:rsid w:val="008729F6"/>
    <w:rsid w:val="008741A6"/>
    <w:rsid w:val="0087446F"/>
    <w:rsid w:val="0087498B"/>
    <w:rsid w:val="00874ABE"/>
    <w:rsid w:val="00874BEE"/>
    <w:rsid w:val="00874EC4"/>
    <w:rsid w:val="008751F2"/>
    <w:rsid w:val="0087530F"/>
    <w:rsid w:val="0087561E"/>
    <w:rsid w:val="00876389"/>
    <w:rsid w:val="00876865"/>
    <w:rsid w:val="008777D7"/>
    <w:rsid w:val="008814D3"/>
    <w:rsid w:val="00881E93"/>
    <w:rsid w:val="00882163"/>
    <w:rsid w:val="008821E8"/>
    <w:rsid w:val="00882278"/>
    <w:rsid w:val="008824AC"/>
    <w:rsid w:val="00882EAF"/>
    <w:rsid w:val="00883EB8"/>
    <w:rsid w:val="0088508B"/>
    <w:rsid w:val="008858A2"/>
    <w:rsid w:val="008861DC"/>
    <w:rsid w:val="00886724"/>
    <w:rsid w:val="00886C2E"/>
    <w:rsid w:val="008870E0"/>
    <w:rsid w:val="00887C47"/>
    <w:rsid w:val="0089032F"/>
    <w:rsid w:val="008908A4"/>
    <w:rsid w:val="008918A4"/>
    <w:rsid w:val="00891A88"/>
    <w:rsid w:val="008938BE"/>
    <w:rsid w:val="008943A8"/>
    <w:rsid w:val="0089449F"/>
    <w:rsid w:val="008950F1"/>
    <w:rsid w:val="00896682"/>
    <w:rsid w:val="008A019D"/>
    <w:rsid w:val="008A045F"/>
    <w:rsid w:val="008A21AB"/>
    <w:rsid w:val="008A2914"/>
    <w:rsid w:val="008A2CD2"/>
    <w:rsid w:val="008A3517"/>
    <w:rsid w:val="008A47B3"/>
    <w:rsid w:val="008A4BE5"/>
    <w:rsid w:val="008A5770"/>
    <w:rsid w:val="008A5BD4"/>
    <w:rsid w:val="008A6D52"/>
    <w:rsid w:val="008A77F8"/>
    <w:rsid w:val="008B0349"/>
    <w:rsid w:val="008B0607"/>
    <w:rsid w:val="008B16D6"/>
    <w:rsid w:val="008B29B3"/>
    <w:rsid w:val="008B2CC8"/>
    <w:rsid w:val="008B2E49"/>
    <w:rsid w:val="008B3438"/>
    <w:rsid w:val="008B7119"/>
    <w:rsid w:val="008B748F"/>
    <w:rsid w:val="008B759B"/>
    <w:rsid w:val="008C1DDF"/>
    <w:rsid w:val="008C3D40"/>
    <w:rsid w:val="008C4888"/>
    <w:rsid w:val="008C493D"/>
    <w:rsid w:val="008C6475"/>
    <w:rsid w:val="008C6F1B"/>
    <w:rsid w:val="008C6FF4"/>
    <w:rsid w:val="008C7A4C"/>
    <w:rsid w:val="008D0EB0"/>
    <w:rsid w:val="008D0EC9"/>
    <w:rsid w:val="008D14BE"/>
    <w:rsid w:val="008D31C1"/>
    <w:rsid w:val="008D3955"/>
    <w:rsid w:val="008D5FCD"/>
    <w:rsid w:val="008D66C4"/>
    <w:rsid w:val="008D6DDE"/>
    <w:rsid w:val="008E00BF"/>
    <w:rsid w:val="008E1BD8"/>
    <w:rsid w:val="008E2057"/>
    <w:rsid w:val="008E208E"/>
    <w:rsid w:val="008E351A"/>
    <w:rsid w:val="008E428A"/>
    <w:rsid w:val="008E4D5C"/>
    <w:rsid w:val="008E56D8"/>
    <w:rsid w:val="008E64DB"/>
    <w:rsid w:val="008E6CDF"/>
    <w:rsid w:val="008E6E17"/>
    <w:rsid w:val="008E73B5"/>
    <w:rsid w:val="008E767A"/>
    <w:rsid w:val="008E78B8"/>
    <w:rsid w:val="008F0049"/>
    <w:rsid w:val="008F007D"/>
    <w:rsid w:val="008F2E1C"/>
    <w:rsid w:val="008F46CF"/>
    <w:rsid w:val="008F4CF8"/>
    <w:rsid w:val="008F554C"/>
    <w:rsid w:val="008F6047"/>
    <w:rsid w:val="008F6200"/>
    <w:rsid w:val="008F6899"/>
    <w:rsid w:val="008F6D3B"/>
    <w:rsid w:val="008F7B73"/>
    <w:rsid w:val="009000FA"/>
    <w:rsid w:val="00900650"/>
    <w:rsid w:val="00900922"/>
    <w:rsid w:val="00901375"/>
    <w:rsid w:val="0090209E"/>
    <w:rsid w:val="00904218"/>
    <w:rsid w:val="00904CF0"/>
    <w:rsid w:val="00904E8A"/>
    <w:rsid w:val="009055A1"/>
    <w:rsid w:val="009075B3"/>
    <w:rsid w:val="00907F0A"/>
    <w:rsid w:val="009104D1"/>
    <w:rsid w:val="00910B52"/>
    <w:rsid w:val="00911F2D"/>
    <w:rsid w:val="009125DA"/>
    <w:rsid w:val="0091574D"/>
    <w:rsid w:val="00915C6A"/>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DF9"/>
    <w:rsid w:val="00933195"/>
    <w:rsid w:val="00934994"/>
    <w:rsid w:val="00935199"/>
    <w:rsid w:val="00935C49"/>
    <w:rsid w:val="0093635F"/>
    <w:rsid w:val="00937414"/>
    <w:rsid w:val="00942B5C"/>
    <w:rsid w:val="009432B0"/>
    <w:rsid w:val="00943F4F"/>
    <w:rsid w:val="00943FB9"/>
    <w:rsid w:val="00944370"/>
    <w:rsid w:val="0094443A"/>
    <w:rsid w:val="00944EF6"/>
    <w:rsid w:val="00944F9E"/>
    <w:rsid w:val="009456EE"/>
    <w:rsid w:val="009460AC"/>
    <w:rsid w:val="00946A49"/>
    <w:rsid w:val="00950A3D"/>
    <w:rsid w:val="009521FB"/>
    <w:rsid w:val="00952BDA"/>
    <w:rsid w:val="009539D7"/>
    <w:rsid w:val="0095414A"/>
    <w:rsid w:val="00956E47"/>
    <w:rsid w:val="00956EB9"/>
    <w:rsid w:val="00957E26"/>
    <w:rsid w:val="0096089B"/>
    <w:rsid w:val="00960D24"/>
    <w:rsid w:val="009623AD"/>
    <w:rsid w:val="00963786"/>
    <w:rsid w:val="00963CB1"/>
    <w:rsid w:val="0096446C"/>
    <w:rsid w:val="00965303"/>
    <w:rsid w:val="00965EB5"/>
    <w:rsid w:val="009666AA"/>
    <w:rsid w:val="00966815"/>
    <w:rsid w:val="0096703C"/>
    <w:rsid w:val="00971DBA"/>
    <w:rsid w:val="00972BFE"/>
    <w:rsid w:val="00973518"/>
    <w:rsid w:val="00973776"/>
    <w:rsid w:val="009749CB"/>
    <w:rsid w:val="00974A0A"/>
    <w:rsid w:val="009759B4"/>
    <w:rsid w:val="00976F05"/>
    <w:rsid w:val="009801FB"/>
    <w:rsid w:val="009816E7"/>
    <w:rsid w:val="009821F5"/>
    <w:rsid w:val="0098230D"/>
    <w:rsid w:val="00982F8C"/>
    <w:rsid w:val="009831AF"/>
    <w:rsid w:val="0098330C"/>
    <w:rsid w:val="009840CE"/>
    <w:rsid w:val="00984E2B"/>
    <w:rsid w:val="00986FE0"/>
    <w:rsid w:val="009870B8"/>
    <w:rsid w:val="009875CC"/>
    <w:rsid w:val="00987B12"/>
    <w:rsid w:val="009905DA"/>
    <w:rsid w:val="009911E7"/>
    <w:rsid w:val="009915A4"/>
    <w:rsid w:val="00991F6D"/>
    <w:rsid w:val="00992AB2"/>
    <w:rsid w:val="0099429A"/>
    <w:rsid w:val="00994DAA"/>
    <w:rsid w:val="00996168"/>
    <w:rsid w:val="00997098"/>
    <w:rsid w:val="009976A1"/>
    <w:rsid w:val="00997B0D"/>
    <w:rsid w:val="00997B6C"/>
    <w:rsid w:val="00997F4C"/>
    <w:rsid w:val="009A0F85"/>
    <w:rsid w:val="009A1AD6"/>
    <w:rsid w:val="009A281C"/>
    <w:rsid w:val="009A2838"/>
    <w:rsid w:val="009A3172"/>
    <w:rsid w:val="009A462A"/>
    <w:rsid w:val="009A4F60"/>
    <w:rsid w:val="009A5B1C"/>
    <w:rsid w:val="009A7012"/>
    <w:rsid w:val="009A7AE0"/>
    <w:rsid w:val="009B0A70"/>
    <w:rsid w:val="009B0BFD"/>
    <w:rsid w:val="009B1101"/>
    <w:rsid w:val="009B184D"/>
    <w:rsid w:val="009B23C4"/>
    <w:rsid w:val="009B23FD"/>
    <w:rsid w:val="009B245F"/>
    <w:rsid w:val="009B2A3A"/>
    <w:rsid w:val="009B3D46"/>
    <w:rsid w:val="009B46DB"/>
    <w:rsid w:val="009B5AF1"/>
    <w:rsid w:val="009B6812"/>
    <w:rsid w:val="009B6D6F"/>
    <w:rsid w:val="009B73F0"/>
    <w:rsid w:val="009B7481"/>
    <w:rsid w:val="009B7886"/>
    <w:rsid w:val="009C0AE7"/>
    <w:rsid w:val="009C233F"/>
    <w:rsid w:val="009C2B43"/>
    <w:rsid w:val="009C2E4C"/>
    <w:rsid w:val="009C39C3"/>
    <w:rsid w:val="009C4213"/>
    <w:rsid w:val="009C5585"/>
    <w:rsid w:val="009C63F4"/>
    <w:rsid w:val="009C64AE"/>
    <w:rsid w:val="009C6F9A"/>
    <w:rsid w:val="009C7213"/>
    <w:rsid w:val="009C78E4"/>
    <w:rsid w:val="009C7B05"/>
    <w:rsid w:val="009D1951"/>
    <w:rsid w:val="009D1DDA"/>
    <w:rsid w:val="009D20DE"/>
    <w:rsid w:val="009D2377"/>
    <w:rsid w:val="009D2E27"/>
    <w:rsid w:val="009D33CC"/>
    <w:rsid w:val="009D389F"/>
    <w:rsid w:val="009D4479"/>
    <w:rsid w:val="009D483F"/>
    <w:rsid w:val="009D5B08"/>
    <w:rsid w:val="009D6006"/>
    <w:rsid w:val="009D61B7"/>
    <w:rsid w:val="009E04E7"/>
    <w:rsid w:val="009E0B85"/>
    <w:rsid w:val="009E0DB3"/>
    <w:rsid w:val="009E0F74"/>
    <w:rsid w:val="009E1552"/>
    <w:rsid w:val="009E26F4"/>
    <w:rsid w:val="009E5D34"/>
    <w:rsid w:val="009E5E02"/>
    <w:rsid w:val="009E600A"/>
    <w:rsid w:val="009E6107"/>
    <w:rsid w:val="009E72EA"/>
    <w:rsid w:val="009F02C5"/>
    <w:rsid w:val="009F054B"/>
    <w:rsid w:val="009F0F46"/>
    <w:rsid w:val="009F0F79"/>
    <w:rsid w:val="009F1599"/>
    <w:rsid w:val="009F2D7B"/>
    <w:rsid w:val="009F5108"/>
    <w:rsid w:val="009F53EF"/>
    <w:rsid w:val="009F561D"/>
    <w:rsid w:val="009F760E"/>
    <w:rsid w:val="009F7929"/>
    <w:rsid w:val="009F795B"/>
    <w:rsid w:val="00A003D4"/>
    <w:rsid w:val="00A005A0"/>
    <w:rsid w:val="00A0193F"/>
    <w:rsid w:val="00A0269E"/>
    <w:rsid w:val="00A059DC"/>
    <w:rsid w:val="00A05A53"/>
    <w:rsid w:val="00A07FD3"/>
    <w:rsid w:val="00A108F0"/>
    <w:rsid w:val="00A10F30"/>
    <w:rsid w:val="00A11F66"/>
    <w:rsid w:val="00A12D9B"/>
    <w:rsid w:val="00A134E5"/>
    <w:rsid w:val="00A139F1"/>
    <w:rsid w:val="00A13CCB"/>
    <w:rsid w:val="00A15822"/>
    <w:rsid w:val="00A15B77"/>
    <w:rsid w:val="00A166A8"/>
    <w:rsid w:val="00A176EB"/>
    <w:rsid w:val="00A208E2"/>
    <w:rsid w:val="00A21151"/>
    <w:rsid w:val="00A228B9"/>
    <w:rsid w:val="00A23622"/>
    <w:rsid w:val="00A2503B"/>
    <w:rsid w:val="00A251C0"/>
    <w:rsid w:val="00A25F9E"/>
    <w:rsid w:val="00A30D3F"/>
    <w:rsid w:val="00A31017"/>
    <w:rsid w:val="00A32AEC"/>
    <w:rsid w:val="00A34FBB"/>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7440"/>
    <w:rsid w:val="00A70147"/>
    <w:rsid w:val="00A70E88"/>
    <w:rsid w:val="00A7136F"/>
    <w:rsid w:val="00A71BCF"/>
    <w:rsid w:val="00A7268C"/>
    <w:rsid w:val="00A749D0"/>
    <w:rsid w:val="00A75273"/>
    <w:rsid w:val="00A754B1"/>
    <w:rsid w:val="00A7552D"/>
    <w:rsid w:val="00A76A9C"/>
    <w:rsid w:val="00A81DB2"/>
    <w:rsid w:val="00A8264F"/>
    <w:rsid w:val="00A836AD"/>
    <w:rsid w:val="00A858BE"/>
    <w:rsid w:val="00A86078"/>
    <w:rsid w:val="00A86955"/>
    <w:rsid w:val="00A90E3B"/>
    <w:rsid w:val="00A92123"/>
    <w:rsid w:val="00A93171"/>
    <w:rsid w:val="00A93847"/>
    <w:rsid w:val="00A96010"/>
    <w:rsid w:val="00A963CE"/>
    <w:rsid w:val="00A96F1F"/>
    <w:rsid w:val="00A97401"/>
    <w:rsid w:val="00AA1129"/>
    <w:rsid w:val="00AA17C4"/>
    <w:rsid w:val="00AA4D91"/>
    <w:rsid w:val="00AA5850"/>
    <w:rsid w:val="00AA67C9"/>
    <w:rsid w:val="00AA6E96"/>
    <w:rsid w:val="00AA7547"/>
    <w:rsid w:val="00AA79AB"/>
    <w:rsid w:val="00AA7A68"/>
    <w:rsid w:val="00AB093A"/>
    <w:rsid w:val="00AB2099"/>
    <w:rsid w:val="00AB2574"/>
    <w:rsid w:val="00AB2F56"/>
    <w:rsid w:val="00AB40E3"/>
    <w:rsid w:val="00AB4964"/>
    <w:rsid w:val="00AB4ADD"/>
    <w:rsid w:val="00AB68CE"/>
    <w:rsid w:val="00AB72F1"/>
    <w:rsid w:val="00AB7F7F"/>
    <w:rsid w:val="00AC037A"/>
    <w:rsid w:val="00AC0B9C"/>
    <w:rsid w:val="00AC18F1"/>
    <w:rsid w:val="00AC3BF6"/>
    <w:rsid w:val="00AC3FB5"/>
    <w:rsid w:val="00AC45E5"/>
    <w:rsid w:val="00AC4B95"/>
    <w:rsid w:val="00AC6C42"/>
    <w:rsid w:val="00AC7136"/>
    <w:rsid w:val="00AD3746"/>
    <w:rsid w:val="00AD3F60"/>
    <w:rsid w:val="00AD4538"/>
    <w:rsid w:val="00AD4E07"/>
    <w:rsid w:val="00AD681C"/>
    <w:rsid w:val="00AE0049"/>
    <w:rsid w:val="00AE1528"/>
    <w:rsid w:val="00AE15D9"/>
    <w:rsid w:val="00AE1697"/>
    <w:rsid w:val="00AE20E8"/>
    <w:rsid w:val="00AE515C"/>
    <w:rsid w:val="00AE541B"/>
    <w:rsid w:val="00AE544D"/>
    <w:rsid w:val="00AE55D9"/>
    <w:rsid w:val="00AE5C9D"/>
    <w:rsid w:val="00AE708F"/>
    <w:rsid w:val="00AF0204"/>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2ACE"/>
    <w:rsid w:val="00B0311D"/>
    <w:rsid w:val="00B03215"/>
    <w:rsid w:val="00B034E4"/>
    <w:rsid w:val="00B04727"/>
    <w:rsid w:val="00B058B5"/>
    <w:rsid w:val="00B06090"/>
    <w:rsid w:val="00B07F44"/>
    <w:rsid w:val="00B13600"/>
    <w:rsid w:val="00B13AC2"/>
    <w:rsid w:val="00B1555D"/>
    <w:rsid w:val="00B15D7B"/>
    <w:rsid w:val="00B16BBE"/>
    <w:rsid w:val="00B17F53"/>
    <w:rsid w:val="00B246D2"/>
    <w:rsid w:val="00B24724"/>
    <w:rsid w:val="00B24964"/>
    <w:rsid w:val="00B24B7B"/>
    <w:rsid w:val="00B251B4"/>
    <w:rsid w:val="00B262C6"/>
    <w:rsid w:val="00B26498"/>
    <w:rsid w:val="00B27291"/>
    <w:rsid w:val="00B276AC"/>
    <w:rsid w:val="00B306A0"/>
    <w:rsid w:val="00B309AC"/>
    <w:rsid w:val="00B313EE"/>
    <w:rsid w:val="00B31F29"/>
    <w:rsid w:val="00B32D0E"/>
    <w:rsid w:val="00B33AF5"/>
    <w:rsid w:val="00B350A9"/>
    <w:rsid w:val="00B353D0"/>
    <w:rsid w:val="00B35C2A"/>
    <w:rsid w:val="00B35D4A"/>
    <w:rsid w:val="00B360D9"/>
    <w:rsid w:val="00B369D6"/>
    <w:rsid w:val="00B40196"/>
    <w:rsid w:val="00B407D1"/>
    <w:rsid w:val="00B41665"/>
    <w:rsid w:val="00B425FC"/>
    <w:rsid w:val="00B4294D"/>
    <w:rsid w:val="00B439A7"/>
    <w:rsid w:val="00B43E5B"/>
    <w:rsid w:val="00B4412F"/>
    <w:rsid w:val="00B44550"/>
    <w:rsid w:val="00B445CD"/>
    <w:rsid w:val="00B44E9E"/>
    <w:rsid w:val="00B454D6"/>
    <w:rsid w:val="00B45734"/>
    <w:rsid w:val="00B471F8"/>
    <w:rsid w:val="00B50CF6"/>
    <w:rsid w:val="00B5146B"/>
    <w:rsid w:val="00B523D6"/>
    <w:rsid w:val="00B5284A"/>
    <w:rsid w:val="00B52BA4"/>
    <w:rsid w:val="00B542AE"/>
    <w:rsid w:val="00B571FF"/>
    <w:rsid w:val="00B60C91"/>
    <w:rsid w:val="00B60E04"/>
    <w:rsid w:val="00B614F7"/>
    <w:rsid w:val="00B61505"/>
    <w:rsid w:val="00B621D1"/>
    <w:rsid w:val="00B624B3"/>
    <w:rsid w:val="00B63458"/>
    <w:rsid w:val="00B645AF"/>
    <w:rsid w:val="00B66100"/>
    <w:rsid w:val="00B66CE9"/>
    <w:rsid w:val="00B70624"/>
    <w:rsid w:val="00B71199"/>
    <w:rsid w:val="00B72FB1"/>
    <w:rsid w:val="00B73FA8"/>
    <w:rsid w:val="00B74843"/>
    <w:rsid w:val="00B75550"/>
    <w:rsid w:val="00B757E4"/>
    <w:rsid w:val="00B75BE3"/>
    <w:rsid w:val="00B75D46"/>
    <w:rsid w:val="00B76955"/>
    <w:rsid w:val="00B772DA"/>
    <w:rsid w:val="00B773BC"/>
    <w:rsid w:val="00B7797D"/>
    <w:rsid w:val="00B80540"/>
    <w:rsid w:val="00B80A0E"/>
    <w:rsid w:val="00B80FBC"/>
    <w:rsid w:val="00B811F0"/>
    <w:rsid w:val="00B824B9"/>
    <w:rsid w:val="00B82632"/>
    <w:rsid w:val="00B82898"/>
    <w:rsid w:val="00B83E78"/>
    <w:rsid w:val="00B8461B"/>
    <w:rsid w:val="00B84A8E"/>
    <w:rsid w:val="00B84FE7"/>
    <w:rsid w:val="00B85650"/>
    <w:rsid w:val="00B87FCD"/>
    <w:rsid w:val="00B9008A"/>
    <w:rsid w:val="00B903EF"/>
    <w:rsid w:val="00B90E39"/>
    <w:rsid w:val="00B92511"/>
    <w:rsid w:val="00B92A57"/>
    <w:rsid w:val="00B93E5E"/>
    <w:rsid w:val="00B93F93"/>
    <w:rsid w:val="00B95E17"/>
    <w:rsid w:val="00B95EFE"/>
    <w:rsid w:val="00B9610C"/>
    <w:rsid w:val="00BA0A84"/>
    <w:rsid w:val="00BA0ADC"/>
    <w:rsid w:val="00BA1AF2"/>
    <w:rsid w:val="00BA26BB"/>
    <w:rsid w:val="00BA2F45"/>
    <w:rsid w:val="00BA365E"/>
    <w:rsid w:val="00BA3767"/>
    <w:rsid w:val="00BA44C4"/>
    <w:rsid w:val="00BA6DBA"/>
    <w:rsid w:val="00BA7072"/>
    <w:rsid w:val="00BB0AB3"/>
    <w:rsid w:val="00BB0D6A"/>
    <w:rsid w:val="00BB302F"/>
    <w:rsid w:val="00BB3EE9"/>
    <w:rsid w:val="00BB4052"/>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B72"/>
    <w:rsid w:val="00BD1218"/>
    <w:rsid w:val="00BD123A"/>
    <w:rsid w:val="00BD167A"/>
    <w:rsid w:val="00BD17A5"/>
    <w:rsid w:val="00BD31AB"/>
    <w:rsid w:val="00BD3FFD"/>
    <w:rsid w:val="00BD439A"/>
    <w:rsid w:val="00BD4638"/>
    <w:rsid w:val="00BD7299"/>
    <w:rsid w:val="00BD7874"/>
    <w:rsid w:val="00BD7963"/>
    <w:rsid w:val="00BE1011"/>
    <w:rsid w:val="00BE155D"/>
    <w:rsid w:val="00BE16CB"/>
    <w:rsid w:val="00BE1B32"/>
    <w:rsid w:val="00BE40BB"/>
    <w:rsid w:val="00BE4507"/>
    <w:rsid w:val="00BE489E"/>
    <w:rsid w:val="00BE4E1A"/>
    <w:rsid w:val="00BE5729"/>
    <w:rsid w:val="00BE7BA6"/>
    <w:rsid w:val="00BF098B"/>
    <w:rsid w:val="00BF0D20"/>
    <w:rsid w:val="00BF21A9"/>
    <w:rsid w:val="00BF2333"/>
    <w:rsid w:val="00BF2638"/>
    <w:rsid w:val="00BF3E96"/>
    <w:rsid w:val="00BF3FBC"/>
    <w:rsid w:val="00BF4307"/>
    <w:rsid w:val="00BF4503"/>
    <w:rsid w:val="00BF5083"/>
    <w:rsid w:val="00BF5735"/>
    <w:rsid w:val="00BF616F"/>
    <w:rsid w:val="00BF6455"/>
    <w:rsid w:val="00BF755D"/>
    <w:rsid w:val="00BF779D"/>
    <w:rsid w:val="00C0156E"/>
    <w:rsid w:val="00C0176C"/>
    <w:rsid w:val="00C023EB"/>
    <w:rsid w:val="00C02A45"/>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317"/>
    <w:rsid w:val="00C22486"/>
    <w:rsid w:val="00C22B03"/>
    <w:rsid w:val="00C22C2B"/>
    <w:rsid w:val="00C24B0A"/>
    <w:rsid w:val="00C26BF2"/>
    <w:rsid w:val="00C31B42"/>
    <w:rsid w:val="00C33C88"/>
    <w:rsid w:val="00C35F7F"/>
    <w:rsid w:val="00C37B0F"/>
    <w:rsid w:val="00C37C49"/>
    <w:rsid w:val="00C40615"/>
    <w:rsid w:val="00C41214"/>
    <w:rsid w:val="00C4325D"/>
    <w:rsid w:val="00C439EA"/>
    <w:rsid w:val="00C4492E"/>
    <w:rsid w:val="00C45332"/>
    <w:rsid w:val="00C4560B"/>
    <w:rsid w:val="00C462F7"/>
    <w:rsid w:val="00C46EC3"/>
    <w:rsid w:val="00C47DCF"/>
    <w:rsid w:val="00C50F56"/>
    <w:rsid w:val="00C51EDD"/>
    <w:rsid w:val="00C529D7"/>
    <w:rsid w:val="00C533B4"/>
    <w:rsid w:val="00C53425"/>
    <w:rsid w:val="00C54C56"/>
    <w:rsid w:val="00C6012D"/>
    <w:rsid w:val="00C60222"/>
    <w:rsid w:val="00C6291F"/>
    <w:rsid w:val="00C65075"/>
    <w:rsid w:val="00C65559"/>
    <w:rsid w:val="00C6693F"/>
    <w:rsid w:val="00C66B83"/>
    <w:rsid w:val="00C66D06"/>
    <w:rsid w:val="00C700B7"/>
    <w:rsid w:val="00C70179"/>
    <w:rsid w:val="00C7059F"/>
    <w:rsid w:val="00C710CD"/>
    <w:rsid w:val="00C7210E"/>
    <w:rsid w:val="00C73C9E"/>
    <w:rsid w:val="00C75A27"/>
    <w:rsid w:val="00C75B92"/>
    <w:rsid w:val="00C76017"/>
    <w:rsid w:val="00C764A2"/>
    <w:rsid w:val="00C76A0A"/>
    <w:rsid w:val="00C76B7A"/>
    <w:rsid w:val="00C816BF"/>
    <w:rsid w:val="00C81D09"/>
    <w:rsid w:val="00C81F80"/>
    <w:rsid w:val="00C8284A"/>
    <w:rsid w:val="00C82E63"/>
    <w:rsid w:val="00C839D3"/>
    <w:rsid w:val="00C849DC"/>
    <w:rsid w:val="00C85DB3"/>
    <w:rsid w:val="00C86281"/>
    <w:rsid w:val="00C86ABA"/>
    <w:rsid w:val="00C86FE3"/>
    <w:rsid w:val="00C87F9A"/>
    <w:rsid w:val="00C90054"/>
    <w:rsid w:val="00C91571"/>
    <w:rsid w:val="00C91E46"/>
    <w:rsid w:val="00C92FCC"/>
    <w:rsid w:val="00C93D6F"/>
    <w:rsid w:val="00C93F8B"/>
    <w:rsid w:val="00C93FBA"/>
    <w:rsid w:val="00C948FD"/>
    <w:rsid w:val="00C949D2"/>
    <w:rsid w:val="00C94E71"/>
    <w:rsid w:val="00C95E86"/>
    <w:rsid w:val="00C96469"/>
    <w:rsid w:val="00C9765E"/>
    <w:rsid w:val="00CA0427"/>
    <w:rsid w:val="00CA0BAF"/>
    <w:rsid w:val="00CA0D4B"/>
    <w:rsid w:val="00CA26BD"/>
    <w:rsid w:val="00CA3CE2"/>
    <w:rsid w:val="00CA3CE5"/>
    <w:rsid w:val="00CA4120"/>
    <w:rsid w:val="00CA4751"/>
    <w:rsid w:val="00CA57A8"/>
    <w:rsid w:val="00CA5EC2"/>
    <w:rsid w:val="00CA64D6"/>
    <w:rsid w:val="00CA6BFC"/>
    <w:rsid w:val="00CA7B8E"/>
    <w:rsid w:val="00CA7BBF"/>
    <w:rsid w:val="00CB0C6C"/>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7032"/>
    <w:rsid w:val="00CC7034"/>
    <w:rsid w:val="00CD12A6"/>
    <w:rsid w:val="00CD293A"/>
    <w:rsid w:val="00CD47E1"/>
    <w:rsid w:val="00CD77E5"/>
    <w:rsid w:val="00CE377A"/>
    <w:rsid w:val="00CE3EE8"/>
    <w:rsid w:val="00CE4092"/>
    <w:rsid w:val="00CE473E"/>
    <w:rsid w:val="00CE586F"/>
    <w:rsid w:val="00CE65DD"/>
    <w:rsid w:val="00CE7A45"/>
    <w:rsid w:val="00CF00D0"/>
    <w:rsid w:val="00CF1C05"/>
    <w:rsid w:val="00CF2C94"/>
    <w:rsid w:val="00CF2D07"/>
    <w:rsid w:val="00CF338E"/>
    <w:rsid w:val="00CF4395"/>
    <w:rsid w:val="00CF4583"/>
    <w:rsid w:val="00CF4715"/>
    <w:rsid w:val="00CF5872"/>
    <w:rsid w:val="00CF58C6"/>
    <w:rsid w:val="00CF61DA"/>
    <w:rsid w:val="00CF62AC"/>
    <w:rsid w:val="00CF6C54"/>
    <w:rsid w:val="00D006B9"/>
    <w:rsid w:val="00D00A97"/>
    <w:rsid w:val="00D011D4"/>
    <w:rsid w:val="00D01776"/>
    <w:rsid w:val="00D0259B"/>
    <w:rsid w:val="00D03A26"/>
    <w:rsid w:val="00D03BE1"/>
    <w:rsid w:val="00D04A2B"/>
    <w:rsid w:val="00D04AD0"/>
    <w:rsid w:val="00D0525E"/>
    <w:rsid w:val="00D06470"/>
    <w:rsid w:val="00D06D3D"/>
    <w:rsid w:val="00D06EDD"/>
    <w:rsid w:val="00D10083"/>
    <w:rsid w:val="00D11BDD"/>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308F2"/>
    <w:rsid w:val="00D30B8D"/>
    <w:rsid w:val="00D3138F"/>
    <w:rsid w:val="00D33384"/>
    <w:rsid w:val="00D33C09"/>
    <w:rsid w:val="00D34050"/>
    <w:rsid w:val="00D345CE"/>
    <w:rsid w:val="00D348F2"/>
    <w:rsid w:val="00D35B63"/>
    <w:rsid w:val="00D40192"/>
    <w:rsid w:val="00D4096B"/>
    <w:rsid w:val="00D418A0"/>
    <w:rsid w:val="00D425B7"/>
    <w:rsid w:val="00D42D5E"/>
    <w:rsid w:val="00D439F7"/>
    <w:rsid w:val="00D43D6A"/>
    <w:rsid w:val="00D440F1"/>
    <w:rsid w:val="00D442A1"/>
    <w:rsid w:val="00D460F4"/>
    <w:rsid w:val="00D47279"/>
    <w:rsid w:val="00D47798"/>
    <w:rsid w:val="00D47C67"/>
    <w:rsid w:val="00D500E1"/>
    <w:rsid w:val="00D5100D"/>
    <w:rsid w:val="00D51A64"/>
    <w:rsid w:val="00D53163"/>
    <w:rsid w:val="00D5346A"/>
    <w:rsid w:val="00D53683"/>
    <w:rsid w:val="00D536B8"/>
    <w:rsid w:val="00D53F0A"/>
    <w:rsid w:val="00D54E80"/>
    <w:rsid w:val="00D5581E"/>
    <w:rsid w:val="00D55B4A"/>
    <w:rsid w:val="00D566BD"/>
    <w:rsid w:val="00D57205"/>
    <w:rsid w:val="00D613FB"/>
    <w:rsid w:val="00D61493"/>
    <w:rsid w:val="00D618D3"/>
    <w:rsid w:val="00D621D4"/>
    <w:rsid w:val="00D62F87"/>
    <w:rsid w:val="00D64962"/>
    <w:rsid w:val="00D64AAC"/>
    <w:rsid w:val="00D65778"/>
    <w:rsid w:val="00D667ED"/>
    <w:rsid w:val="00D673AA"/>
    <w:rsid w:val="00D70E0E"/>
    <w:rsid w:val="00D71702"/>
    <w:rsid w:val="00D718EB"/>
    <w:rsid w:val="00D7201E"/>
    <w:rsid w:val="00D72751"/>
    <w:rsid w:val="00D7381B"/>
    <w:rsid w:val="00D739F3"/>
    <w:rsid w:val="00D73FE5"/>
    <w:rsid w:val="00D74557"/>
    <w:rsid w:val="00D755D2"/>
    <w:rsid w:val="00D76FD9"/>
    <w:rsid w:val="00D772AA"/>
    <w:rsid w:val="00D80124"/>
    <w:rsid w:val="00D8071A"/>
    <w:rsid w:val="00D81924"/>
    <w:rsid w:val="00D83310"/>
    <w:rsid w:val="00D83EE7"/>
    <w:rsid w:val="00D86840"/>
    <w:rsid w:val="00D86E4A"/>
    <w:rsid w:val="00D86EE1"/>
    <w:rsid w:val="00D90518"/>
    <w:rsid w:val="00D90E05"/>
    <w:rsid w:val="00D91457"/>
    <w:rsid w:val="00D916A9"/>
    <w:rsid w:val="00D92EA5"/>
    <w:rsid w:val="00D93E48"/>
    <w:rsid w:val="00D93E81"/>
    <w:rsid w:val="00DA0B33"/>
    <w:rsid w:val="00DA1683"/>
    <w:rsid w:val="00DA1E7C"/>
    <w:rsid w:val="00DA1FE4"/>
    <w:rsid w:val="00DA2F3A"/>
    <w:rsid w:val="00DA3F3D"/>
    <w:rsid w:val="00DA4AA0"/>
    <w:rsid w:val="00DA5A49"/>
    <w:rsid w:val="00DB0631"/>
    <w:rsid w:val="00DB0A89"/>
    <w:rsid w:val="00DB2091"/>
    <w:rsid w:val="00DB2F69"/>
    <w:rsid w:val="00DB45BE"/>
    <w:rsid w:val="00DB5CC0"/>
    <w:rsid w:val="00DB5E0C"/>
    <w:rsid w:val="00DB79DC"/>
    <w:rsid w:val="00DB7BFF"/>
    <w:rsid w:val="00DC02C0"/>
    <w:rsid w:val="00DC25BE"/>
    <w:rsid w:val="00DC278F"/>
    <w:rsid w:val="00DC4330"/>
    <w:rsid w:val="00DC5FA6"/>
    <w:rsid w:val="00DC6176"/>
    <w:rsid w:val="00DC66AD"/>
    <w:rsid w:val="00DC68DC"/>
    <w:rsid w:val="00DD01BA"/>
    <w:rsid w:val="00DD0C22"/>
    <w:rsid w:val="00DD12CE"/>
    <w:rsid w:val="00DD1DB1"/>
    <w:rsid w:val="00DD28DC"/>
    <w:rsid w:val="00DD3D75"/>
    <w:rsid w:val="00DD3DB3"/>
    <w:rsid w:val="00DD4164"/>
    <w:rsid w:val="00DD4D22"/>
    <w:rsid w:val="00DD4E3F"/>
    <w:rsid w:val="00DD576E"/>
    <w:rsid w:val="00DD6F0D"/>
    <w:rsid w:val="00DE1AB0"/>
    <w:rsid w:val="00DE2397"/>
    <w:rsid w:val="00DE2809"/>
    <w:rsid w:val="00DE2CDE"/>
    <w:rsid w:val="00DE4749"/>
    <w:rsid w:val="00DE7062"/>
    <w:rsid w:val="00DF083D"/>
    <w:rsid w:val="00DF287F"/>
    <w:rsid w:val="00DF31EA"/>
    <w:rsid w:val="00DF3918"/>
    <w:rsid w:val="00DF45B6"/>
    <w:rsid w:val="00DF5BAB"/>
    <w:rsid w:val="00DF5E25"/>
    <w:rsid w:val="00DF74BA"/>
    <w:rsid w:val="00DF7554"/>
    <w:rsid w:val="00E00F72"/>
    <w:rsid w:val="00E01D9F"/>
    <w:rsid w:val="00E03F6F"/>
    <w:rsid w:val="00E0405A"/>
    <w:rsid w:val="00E04269"/>
    <w:rsid w:val="00E11BB7"/>
    <w:rsid w:val="00E11F25"/>
    <w:rsid w:val="00E12775"/>
    <w:rsid w:val="00E12997"/>
    <w:rsid w:val="00E129A5"/>
    <w:rsid w:val="00E14F1F"/>
    <w:rsid w:val="00E15AC5"/>
    <w:rsid w:val="00E1621F"/>
    <w:rsid w:val="00E2041A"/>
    <w:rsid w:val="00E20FD4"/>
    <w:rsid w:val="00E23AF9"/>
    <w:rsid w:val="00E25071"/>
    <w:rsid w:val="00E27631"/>
    <w:rsid w:val="00E30ADA"/>
    <w:rsid w:val="00E321D5"/>
    <w:rsid w:val="00E32842"/>
    <w:rsid w:val="00E32E33"/>
    <w:rsid w:val="00E33439"/>
    <w:rsid w:val="00E33547"/>
    <w:rsid w:val="00E33794"/>
    <w:rsid w:val="00E34570"/>
    <w:rsid w:val="00E34A3A"/>
    <w:rsid w:val="00E376EC"/>
    <w:rsid w:val="00E40A74"/>
    <w:rsid w:val="00E40EEC"/>
    <w:rsid w:val="00E41F1C"/>
    <w:rsid w:val="00E42B88"/>
    <w:rsid w:val="00E42C7E"/>
    <w:rsid w:val="00E42FDD"/>
    <w:rsid w:val="00E44E54"/>
    <w:rsid w:val="00E45FFD"/>
    <w:rsid w:val="00E4729F"/>
    <w:rsid w:val="00E52DBA"/>
    <w:rsid w:val="00E52E7C"/>
    <w:rsid w:val="00E52EF2"/>
    <w:rsid w:val="00E5324B"/>
    <w:rsid w:val="00E54A60"/>
    <w:rsid w:val="00E55457"/>
    <w:rsid w:val="00E55467"/>
    <w:rsid w:val="00E55B4F"/>
    <w:rsid w:val="00E56BB1"/>
    <w:rsid w:val="00E57CEB"/>
    <w:rsid w:val="00E60143"/>
    <w:rsid w:val="00E60172"/>
    <w:rsid w:val="00E61C58"/>
    <w:rsid w:val="00E64265"/>
    <w:rsid w:val="00E6479A"/>
    <w:rsid w:val="00E713C6"/>
    <w:rsid w:val="00E723B7"/>
    <w:rsid w:val="00E72587"/>
    <w:rsid w:val="00E72CD2"/>
    <w:rsid w:val="00E73B80"/>
    <w:rsid w:val="00E74273"/>
    <w:rsid w:val="00E74AD3"/>
    <w:rsid w:val="00E74C26"/>
    <w:rsid w:val="00E74E1B"/>
    <w:rsid w:val="00E750DE"/>
    <w:rsid w:val="00E764A4"/>
    <w:rsid w:val="00E76A87"/>
    <w:rsid w:val="00E771F3"/>
    <w:rsid w:val="00E77A80"/>
    <w:rsid w:val="00E809CB"/>
    <w:rsid w:val="00E80C67"/>
    <w:rsid w:val="00E816CE"/>
    <w:rsid w:val="00E81D19"/>
    <w:rsid w:val="00E821D4"/>
    <w:rsid w:val="00E82CF3"/>
    <w:rsid w:val="00E830B7"/>
    <w:rsid w:val="00E83BBB"/>
    <w:rsid w:val="00E84AB2"/>
    <w:rsid w:val="00E85264"/>
    <w:rsid w:val="00E856ED"/>
    <w:rsid w:val="00E85880"/>
    <w:rsid w:val="00E85CA7"/>
    <w:rsid w:val="00E8764B"/>
    <w:rsid w:val="00E87709"/>
    <w:rsid w:val="00E879F6"/>
    <w:rsid w:val="00E902E7"/>
    <w:rsid w:val="00E908C4"/>
    <w:rsid w:val="00E90D1D"/>
    <w:rsid w:val="00E91109"/>
    <w:rsid w:val="00E91422"/>
    <w:rsid w:val="00E91CE1"/>
    <w:rsid w:val="00E921FA"/>
    <w:rsid w:val="00E92288"/>
    <w:rsid w:val="00E93AA2"/>
    <w:rsid w:val="00E93E6D"/>
    <w:rsid w:val="00E95DFF"/>
    <w:rsid w:val="00E960CA"/>
    <w:rsid w:val="00E978C4"/>
    <w:rsid w:val="00EA00C9"/>
    <w:rsid w:val="00EA0C09"/>
    <w:rsid w:val="00EA2C94"/>
    <w:rsid w:val="00EA319D"/>
    <w:rsid w:val="00EA4571"/>
    <w:rsid w:val="00EA5725"/>
    <w:rsid w:val="00EA7721"/>
    <w:rsid w:val="00EB0540"/>
    <w:rsid w:val="00EB10C1"/>
    <w:rsid w:val="00EB1D21"/>
    <w:rsid w:val="00EB2402"/>
    <w:rsid w:val="00EB279A"/>
    <w:rsid w:val="00EB3B36"/>
    <w:rsid w:val="00EB3B5F"/>
    <w:rsid w:val="00EB52FD"/>
    <w:rsid w:val="00EB5384"/>
    <w:rsid w:val="00EB5DAF"/>
    <w:rsid w:val="00EB6190"/>
    <w:rsid w:val="00EB6BA5"/>
    <w:rsid w:val="00EB6EE4"/>
    <w:rsid w:val="00EB7571"/>
    <w:rsid w:val="00EB785E"/>
    <w:rsid w:val="00EB78BA"/>
    <w:rsid w:val="00EB7D4A"/>
    <w:rsid w:val="00EC1072"/>
    <w:rsid w:val="00EC1339"/>
    <w:rsid w:val="00EC29B8"/>
    <w:rsid w:val="00EC2BAA"/>
    <w:rsid w:val="00EC2DDC"/>
    <w:rsid w:val="00EC310E"/>
    <w:rsid w:val="00EC32B3"/>
    <w:rsid w:val="00EC3C98"/>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E16EB"/>
    <w:rsid w:val="00EE2985"/>
    <w:rsid w:val="00EE302A"/>
    <w:rsid w:val="00EE409A"/>
    <w:rsid w:val="00EE4DB6"/>
    <w:rsid w:val="00EE549A"/>
    <w:rsid w:val="00EE5DB1"/>
    <w:rsid w:val="00EE5E39"/>
    <w:rsid w:val="00EE5F35"/>
    <w:rsid w:val="00EE6E4F"/>
    <w:rsid w:val="00EE788C"/>
    <w:rsid w:val="00EE7F94"/>
    <w:rsid w:val="00EF37FB"/>
    <w:rsid w:val="00EF46DD"/>
    <w:rsid w:val="00EF591E"/>
    <w:rsid w:val="00EF6902"/>
    <w:rsid w:val="00EF7D5B"/>
    <w:rsid w:val="00F00736"/>
    <w:rsid w:val="00F007D1"/>
    <w:rsid w:val="00F03C5B"/>
    <w:rsid w:val="00F07935"/>
    <w:rsid w:val="00F101DA"/>
    <w:rsid w:val="00F105FC"/>
    <w:rsid w:val="00F1082F"/>
    <w:rsid w:val="00F11ED4"/>
    <w:rsid w:val="00F12E52"/>
    <w:rsid w:val="00F151E8"/>
    <w:rsid w:val="00F1578E"/>
    <w:rsid w:val="00F162EE"/>
    <w:rsid w:val="00F163C4"/>
    <w:rsid w:val="00F165DD"/>
    <w:rsid w:val="00F2042B"/>
    <w:rsid w:val="00F213AB"/>
    <w:rsid w:val="00F23C32"/>
    <w:rsid w:val="00F24D7B"/>
    <w:rsid w:val="00F25EDE"/>
    <w:rsid w:val="00F2702C"/>
    <w:rsid w:val="00F27559"/>
    <w:rsid w:val="00F279D8"/>
    <w:rsid w:val="00F27B49"/>
    <w:rsid w:val="00F3054A"/>
    <w:rsid w:val="00F31F81"/>
    <w:rsid w:val="00F326DD"/>
    <w:rsid w:val="00F32D77"/>
    <w:rsid w:val="00F340D1"/>
    <w:rsid w:val="00F345BA"/>
    <w:rsid w:val="00F35910"/>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12BF"/>
    <w:rsid w:val="00F51C6A"/>
    <w:rsid w:val="00F51CEE"/>
    <w:rsid w:val="00F51CF8"/>
    <w:rsid w:val="00F535B4"/>
    <w:rsid w:val="00F5410A"/>
    <w:rsid w:val="00F54CA9"/>
    <w:rsid w:val="00F5542F"/>
    <w:rsid w:val="00F556A6"/>
    <w:rsid w:val="00F55BE2"/>
    <w:rsid w:val="00F56581"/>
    <w:rsid w:val="00F5716A"/>
    <w:rsid w:val="00F6021F"/>
    <w:rsid w:val="00F60F87"/>
    <w:rsid w:val="00F613AD"/>
    <w:rsid w:val="00F623B3"/>
    <w:rsid w:val="00F63161"/>
    <w:rsid w:val="00F6459F"/>
    <w:rsid w:val="00F64670"/>
    <w:rsid w:val="00F64895"/>
    <w:rsid w:val="00F65568"/>
    <w:rsid w:val="00F6586B"/>
    <w:rsid w:val="00F66D54"/>
    <w:rsid w:val="00F6740F"/>
    <w:rsid w:val="00F674DB"/>
    <w:rsid w:val="00F6798C"/>
    <w:rsid w:val="00F67DF9"/>
    <w:rsid w:val="00F707D9"/>
    <w:rsid w:val="00F708FC"/>
    <w:rsid w:val="00F7391F"/>
    <w:rsid w:val="00F739BA"/>
    <w:rsid w:val="00F739E1"/>
    <w:rsid w:val="00F73D7F"/>
    <w:rsid w:val="00F751A1"/>
    <w:rsid w:val="00F75357"/>
    <w:rsid w:val="00F769FE"/>
    <w:rsid w:val="00F76B03"/>
    <w:rsid w:val="00F77B11"/>
    <w:rsid w:val="00F77B83"/>
    <w:rsid w:val="00F77D92"/>
    <w:rsid w:val="00F8126B"/>
    <w:rsid w:val="00F81708"/>
    <w:rsid w:val="00F82D90"/>
    <w:rsid w:val="00F838FF"/>
    <w:rsid w:val="00F859C6"/>
    <w:rsid w:val="00F86013"/>
    <w:rsid w:val="00F864B8"/>
    <w:rsid w:val="00F86717"/>
    <w:rsid w:val="00F87C4E"/>
    <w:rsid w:val="00F9045D"/>
    <w:rsid w:val="00F9156E"/>
    <w:rsid w:val="00F92542"/>
    <w:rsid w:val="00F93CE5"/>
    <w:rsid w:val="00F94113"/>
    <w:rsid w:val="00F94658"/>
    <w:rsid w:val="00F96E70"/>
    <w:rsid w:val="00F97BAC"/>
    <w:rsid w:val="00F97F2E"/>
    <w:rsid w:val="00FA004E"/>
    <w:rsid w:val="00FA07B8"/>
    <w:rsid w:val="00FA1593"/>
    <w:rsid w:val="00FA263F"/>
    <w:rsid w:val="00FA2B9C"/>
    <w:rsid w:val="00FA3842"/>
    <w:rsid w:val="00FA3BD1"/>
    <w:rsid w:val="00FB0432"/>
    <w:rsid w:val="00FB07DB"/>
    <w:rsid w:val="00FB1073"/>
    <w:rsid w:val="00FB18E6"/>
    <w:rsid w:val="00FB1E5D"/>
    <w:rsid w:val="00FB1F84"/>
    <w:rsid w:val="00FB24D6"/>
    <w:rsid w:val="00FB426B"/>
    <w:rsid w:val="00FB4764"/>
    <w:rsid w:val="00FB48CD"/>
    <w:rsid w:val="00FB4A0C"/>
    <w:rsid w:val="00FB62DF"/>
    <w:rsid w:val="00FB7FD9"/>
    <w:rsid w:val="00FC009E"/>
    <w:rsid w:val="00FC04F3"/>
    <w:rsid w:val="00FC0936"/>
    <w:rsid w:val="00FC09B0"/>
    <w:rsid w:val="00FC09FB"/>
    <w:rsid w:val="00FC28EA"/>
    <w:rsid w:val="00FC3FF7"/>
    <w:rsid w:val="00FC46CC"/>
    <w:rsid w:val="00FC6446"/>
    <w:rsid w:val="00FC68BA"/>
    <w:rsid w:val="00FD0281"/>
    <w:rsid w:val="00FD03B5"/>
    <w:rsid w:val="00FD04C9"/>
    <w:rsid w:val="00FD0DD1"/>
    <w:rsid w:val="00FD1452"/>
    <w:rsid w:val="00FD20D0"/>
    <w:rsid w:val="00FD2298"/>
    <w:rsid w:val="00FD3A63"/>
    <w:rsid w:val="00FD5FBE"/>
    <w:rsid w:val="00FD6CFD"/>
    <w:rsid w:val="00FD7074"/>
    <w:rsid w:val="00FD7AAC"/>
    <w:rsid w:val="00FD7C74"/>
    <w:rsid w:val="00FE004E"/>
    <w:rsid w:val="00FE05FE"/>
    <w:rsid w:val="00FE1587"/>
    <w:rsid w:val="00FE2940"/>
    <w:rsid w:val="00FE464A"/>
    <w:rsid w:val="00FF039C"/>
    <w:rsid w:val="00FF0DCC"/>
    <w:rsid w:val="00FF2156"/>
    <w:rsid w:val="00FF2C2D"/>
    <w:rsid w:val="00FF37D1"/>
    <w:rsid w:val="00FF3976"/>
    <w:rsid w:val="00FF3C6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85999267">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5.xml><?xml version="1.0" encoding="utf-8"?>
<ds:datastoreItem xmlns:ds="http://schemas.openxmlformats.org/officeDocument/2006/customXml" ds:itemID="{E4A02ACA-4590-462F-B89D-028A9C2F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10249</Words>
  <Characters>56373</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Ramos Hernández, Antonio</cp:lastModifiedBy>
  <cp:revision>4</cp:revision>
  <cp:lastPrinted>2018-02-21T02:32:00Z</cp:lastPrinted>
  <dcterms:created xsi:type="dcterms:W3CDTF">2018-02-21T02:31:00Z</dcterms:created>
  <dcterms:modified xsi:type="dcterms:W3CDTF">2018-02-21T02:32:00Z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